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Fevereiro de 2025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mês de Fevereiro de 2025, conforme dados a seguir: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R$ 1.130.715,65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R$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578,57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R$ 207.848,56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R$ 83.243,54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R$ 15.898,79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R$ 11.424,10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R$ 580.518,54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(compensação previdenciária)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R$ 5.751,39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040" w:left="1525" w:right="1108" w:bottom="2280" w:header="612" w:footer="1852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investimento/aplicação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R$ 23.103.004,22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left="0" w:right="0" w:bottom="10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1256665</wp:posOffset>
            </wp:positionH>
            <wp:positionV relativeFrom="paragraph">
              <wp:posOffset>12700</wp:posOffset>
            </wp:positionV>
            <wp:extent cx="1597025" cy="9264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97025" cy="926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4598670</wp:posOffset>
            </wp:positionH>
            <wp:positionV relativeFrom="paragraph">
              <wp:posOffset>434340</wp:posOffset>
            </wp:positionV>
            <wp:extent cx="506095" cy="37782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06095" cy="3778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0" w:left="1525" w:right="1108" w:bottom="104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5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