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ATA N. 002/2026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Aos 26 dias do mês de março de 2026, as 16:00 horas 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reuniram-se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na sala de reuniões do FAPENV, os membros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CONSELHO ADMINISTRATIVO E FISCAL do Fundo de Aposentadoria e Pensões dos Servidores do Municipio de Envira - FAPENV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cumprindo o previsto nas legislações em vigor, analisaram a minuta da Política Anual de Investimentos para o exercício 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Política de Investimentos foi elaborada em parceria com a consultoria Referência e a meta da PI será de IPCA+6%. Seguindo as premissas da taxa- parâmetro fixadas na Portaria MPS n° 2.010/2025, sendo que a estratégia-alvo ficou fixada em 100%.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Observou-se que o presente documento foi elaborado conforme determina a Resolução CMN 5.272/2025 e a Portaria 1.467/2022.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política monetária a ser conduzida pelo Banco Central do Brasil precisará,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uma vez, encontrar adequado equilíbrio entre o controle da inflação e o incentivo ao crescimento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econômico,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as projeções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recentes para o IPCA e a Selic — ambas em recuo em relação a 2025 — já servindo como importante sinalizador de otimismo para o mercado em 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o espaço fiscal cada vez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restrito, a tendência de que medidas governamentais consigam mitigar os efeitos de uma política monetária contracionista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torna-se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menos provável, sendo importante frisar que as previsões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PIB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para o próximo ano indicam nova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desaceleração econômica.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Ainda sob o aspecto fiscal,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conclui-se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que o governo mantém dificuldades em transmitir ao mercado de que forma será alcançado o prometido equilíbrio das contas públicas, o que eleva as incertezas quanto à real viabilidade 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superávit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primário no próximo exercício.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desse cenário, a preferência permanece por títulos de prazos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curtos, ao menos no primeiro semestre de 2026, período em que a rigidez da política monetária tende a se manter. Contudo, uma vez que a inflação se mostre efetivamente controlada, acompanhada da esperada redução da Selic e de um cenário externo menos volátil — em especial após estabilização das relações comerciais —, as opções de prazo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longo poderão novamente se tornar atrativas, repetindo o desempenho observado em boa parte de 2025.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Em outras palavras: o primeiro semestre de 2026 poderá servir como um importante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termômetro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quanto aos rumos da inflação no Brasil, o que, em última instância, exercerá papel fundamental na condução da política monetária, especialmente na definição da Selic.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Considerando o histórico de posicionamento em investimentos do RPPS e ponderando o posicionamento de seus gestores, ressalta-se que o RPPS possui o perfil de investidor (conservador ou moderado ver na PI.)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Após a apresentação e os esclarecimentos relativos à presente Política de Investimentos, os membros finalizaram o esboço, ressalta-se que sua aprovação será efetivada pelo conselho do RPPS.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anexo, segue o Quadro Resumo da Política de Investimentos - Resolução CNM n° 5.272/2025</w:t>
      </w: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2001" w:left="1417" w:right="1771" w:bottom="1468" w:header="0" w:footer="1040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0" distL="0" distR="0" simplePos="0" relativeHeight="125829378" behindDoc="0" locked="0" layoutInCell="1" allowOverlap="1">
                <wp:simplePos x="0" y="0"/>
                <wp:positionH relativeFrom="page">
                  <wp:posOffset>922655</wp:posOffset>
                </wp:positionH>
                <wp:positionV relativeFrom="paragraph">
                  <wp:posOffset>25400</wp:posOffset>
                </wp:positionV>
                <wp:extent cx="5683250" cy="409638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83250" cy="409638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5508"/>
                              <w:gridCol w:w="857"/>
                              <w:gridCol w:w="857"/>
                              <w:gridCol w:w="533"/>
                              <w:gridCol w:w="662"/>
                              <w:gridCol w:w="533"/>
                            </w:tblGrid>
                            <w:tr>
                              <w:trPr>
                                <w:tblHeader/>
                                <w:trHeight w:val="252" w:hRule="exact"/>
                              </w:trPr>
                              <w:tc>
                                <w:tcPr>
                                  <w:gridSpan w:val="6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RESUMO DA POLÍTICA DE INVESTIMENTOS - RESOLUÇÃO CMN n2 5.272/202S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3" w:hRule="exact"/>
                              </w:trPr>
                              <w:tc>
                                <w:tcPr>
                                  <w:vMerge w:val="restart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Alocação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dos Recursos/Diversificação</w:t>
                                  </w:r>
                                </w:p>
                              </w:tc>
                              <w:tc>
                                <w:tcPr>
                                  <w:gridSpan w:val="5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Alocação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dos recursos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31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Limite da Resolução 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Limite do Inciso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4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Limite</w:t>
                                  </w:r>
                                </w:p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Inferior 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31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Estratégia Alvo 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4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Limite de</w:t>
                                  </w:r>
                                </w:p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Superior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9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Renda Fixa - Art. 79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100,0%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fundos de investimento/ETF -100% Títulos Públicos - Art 79, 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99,5%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100,0%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Títulos de emissão do Tesouro Nacional - Oferta primária ou plataforma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eletrônica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- An. 7’, II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0,5%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Títulos de emissão do Tesouro Nacional - registrado na Selic - Art. 79, III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Operações Compromissadas -100% Títulos Públicos SELIC - Art. 7®, IV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fundos de investimento/ETF - Renda Fixa - Art 79, v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80%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35,0%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Ativos de renda fixa emitidos por instituições financeiras - Art. 79, VI (observados limites por instituição)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20%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fundos de investimento - Renda Fixa - Crédito Privado - Art. 7’. VII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fundos de investimento - Leis n’ 12.431/2011 e 14.801/2024 - Art. 7®, VIII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Cotas de subclasses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sênior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de FIOC - Art. 79, IX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20%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Renda Variável - Art. 8«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fundos de investimentos - Ações - Art. 8®, 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ETF de Ações - Art. 8®, II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vMerge w:val="restart"/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ETF BDR-Ações - BDR-ETF de Ações - Art. 8®, III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vMerge/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0.0%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ETF Internacional - Art. 89, IV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0.0%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0.0%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Investimento no Exterior - Art. 92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Classes de fundos de investimento - Renda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Fixa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- Dívida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Externa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- Art. 9®, 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fundos de investimento no exterior - Investidores Qualificados - Art. 99, II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0.0%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0.0%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Classes de fundos de investimento no exterior -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Investidores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em Geral - Art. 99, III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0.0%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Fundos Estruturados - Art. 10®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9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fundos de investimento - Multimercado - Art 10,1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9,0%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Fiagro - Art. 10, II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0.0%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FIP - Art. 10, III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0.0%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Classes de fundos de investimento - Ações Mercado de Acesso - Art. 10, IV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Fundos Imobiliários - Art. 11»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9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FundcVCIasse de Investimento Imobiliário - Art 11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20%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Empréstimos Consignados Art. 12»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Empréstimos Consignados - Art 12°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5%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1"/>
                                      <w:szCs w:val="11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0"/>
                                      <w:szCs w:val="10"/>
                                      <w:shd w:val="clear" w:color="auto" w:fill="auto"/>
                                      <w:lang w:val="pt-PT" w:eastAsia="pt-PT" w:bidi="pt-PT"/>
                                    </w:rPr>
                                    <w:t>100,00%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2.650000000000006pt;margin-top:2.pt;width:447.5pt;height:322.55000000000001pt;z-index:-125829375;mso-wrap-distance-left:0;mso-wrap-distance-top:2.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5508"/>
                        <w:gridCol w:w="857"/>
                        <w:gridCol w:w="857"/>
                        <w:gridCol w:w="533"/>
                        <w:gridCol w:w="662"/>
                        <w:gridCol w:w="533"/>
                      </w:tblGrid>
                      <w:tr>
                        <w:trPr>
                          <w:tblHeader/>
                          <w:trHeight w:val="252" w:hRule="exact"/>
                        </w:trPr>
                        <w:tc>
                          <w:tcPr>
                            <w:gridSpan w:val="6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RESUMO DA POLÍTICA DE INVESTIMENTOS - RESOLUÇÃO CMN n2 5.272/202S</w:t>
                            </w:r>
                          </w:p>
                        </w:tc>
                      </w:tr>
                      <w:tr>
                        <w:trPr>
                          <w:trHeight w:val="173" w:hRule="exact"/>
                        </w:trPr>
                        <w:tc>
                          <w:tcPr>
                            <w:vMerge w:val="restart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 xml:space="preserve">Alocação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dos Recursos/Diversificação</w:t>
                            </w:r>
                          </w:p>
                        </w:tc>
                        <w:tc>
                          <w:tcPr>
                            <w:gridSpan w:val="5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 xml:space="preserve">Alocação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dos recursos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1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Limite da Resolução 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Limite do Inciso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Limite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Inferior 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1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Estratégia Alvo 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Limite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Superior</w:t>
                            </w:r>
                          </w:p>
                        </w:tc>
                      </w:tr>
                      <w:tr>
                        <w:trPr>
                          <w:trHeight w:val="209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Renda Fixa - Art. 79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100,0%</w:t>
                            </w: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fundos de investimento/ETF -100% Títulos Públicos - Art 79, 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99,5%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100,0%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Títulos de emissão do Tesouro Nacional - Oferta primária ou plataforma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eletrônica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- An. 7’, II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0,5%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50,0%</w:t>
                            </w:r>
                          </w:p>
                        </w:tc>
                      </w:tr>
                      <w:tr>
                        <w:trPr>
                          <w:trHeight w:val="19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Títulos de emissão do Tesouro Nacional - registrado na Selic - Art. 79, III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19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Operações Compromissadas -100% Títulos Públicos SELIC - Art. 7®, IV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fundos de investimento/ETF - Renda Fixa - Art 79, v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80%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35,0%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Ativos de renda fixa emitidos por instituições financeiras - Art. 79, VI (observados limites por instituição)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20%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19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fundos de investimento - Renda Fixa - Crédito Privado - Art. 7’. VII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1,0%</w:t>
                            </w:r>
                          </w:p>
                        </w:tc>
                      </w:tr>
                      <w:tr>
                        <w:trPr>
                          <w:trHeight w:val="19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fundos de investimento - Leis n’ 12.431/2011 e 14.801/2024 - Art. 7®, VIII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Cotas de subclasses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sênior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de FIOC - Art. 79, IX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20%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Renda Variável - Art. 8«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fundos de investimentos - Ações - Art. 8®, 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158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ETF de Ações - Art. 8®, II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vMerge w:val="restart"/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158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ETF BDR-Ações - BDR-ETF de Ações - Art. 8®, III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vMerge/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0.0%</w:t>
                            </w:r>
                          </w:p>
                        </w:tc>
                      </w:tr>
                      <w:tr>
                        <w:trPr>
                          <w:trHeight w:val="158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ETF Internacional - Art. 89, IV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0.0%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0.0%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Investimento no Exterior - Art. 92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Classes de fundos de investimento - Renda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Fixa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- Dívida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Externa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- Art. 9®, 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19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fundos de investimento no exterior - Investidores Qualificados - Art. 99, II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0.0%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0.0%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Classes de fundos de investimento no exterior -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Investidores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em Geral - Art. 99, III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0.0%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Fundos Estruturados - Art. 10®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9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fundos de investimento - Multimercado - Art 10,1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9,0%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Fiagro - Art. 10, II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0.0%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FIP - Art. 10, III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0.0%</w:t>
                            </w:r>
                          </w:p>
                        </w:tc>
                      </w:tr>
                      <w:tr>
                        <w:trPr>
                          <w:trHeight w:val="19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Classes de fundos de investimento - Ações Mercado de Acesso - Art. 10, IV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Fundos Imobiliários - Art. 11»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9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FundcVCIasse de Investimento Imobiliário - Art 11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20%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Empréstimos Consignados Art. 12»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Empréstimos Consignados - Art 12°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5%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0,0%</w:t>
                            </w:r>
                          </w:p>
                        </w:tc>
                      </w:tr>
                      <w:tr>
                        <w:trPr>
                          <w:trHeight w:val="259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100,00%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21385" distB="2546350" distL="0" distR="0" simplePos="0" relativeHeight="125829380" behindDoc="0" locked="0" layoutInCell="1" allowOverlap="1">
            <wp:simplePos x="0" y="0"/>
            <wp:positionH relativeFrom="page">
              <wp:posOffset>6824980</wp:posOffset>
            </wp:positionH>
            <wp:positionV relativeFrom="paragraph">
              <wp:posOffset>921385</wp:posOffset>
            </wp:positionV>
            <wp:extent cx="499745" cy="65214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499745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63090" distB="1307465" distL="0" distR="0" simplePos="0" relativeHeight="125829381" behindDoc="0" locked="0" layoutInCell="1" allowOverlap="1">
            <wp:simplePos x="0" y="0"/>
            <wp:positionH relativeFrom="page">
              <wp:posOffset>6852285</wp:posOffset>
            </wp:positionH>
            <wp:positionV relativeFrom="paragraph">
              <wp:posOffset>1863090</wp:posOffset>
            </wp:positionV>
            <wp:extent cx="664210" cy="95123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664210" cy="951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891790" distB="621665" distL="0" distR="0" simplePos="0" relativeHeight="125829382" behindDoc="0" locked="0" layoutInCell="1" allowOverlap="1">
            <wp:simplePos x="0" y="0"/>
            <wp:positionH relativeFrom="page">
              <wp:posOffset>6925945</wp:posOffset>
            </wp:positionH>
            <wp:positionV relativeFrom="paragraph">
              <wp:posOffset>2891790</wp:posOffset>
            </wp:positionV>
            <wp:extent cx="323215" cy="60960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2321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564255" distB="114300" distL="0" distR="0" simplePos="0" relativeHeight="125829383" behindDoc="0" locked="0" layoutInCell="1" allowOverlap="1">
            <wp:simplePos x="0" y="0"/>
            <wp:positionH relativeFrom="page">
              <wp:posOffset>6733540</wp:posOffset>
            </wp:positionH>
            <wp:positionV relativeFrom="paragraph">
              <wp:posOffset>3564255</wp:posOffset>
            </wp:positionV>
            <wp:extent cx="396240" cy="4451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96240" cy="4451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05" w:left="0" w:right="0" w:bottom="146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Em relação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políticas de investimentos dos exercícios anteriores, a antiga gestão não as elaborou, cabendo a esta gestão, conforme a Portaria MTP n° 1.467/2022, a responsabilidade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confeccionar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apenas os Demonstrativos das Políticas de Investimentos (DPIN) dos últimos cinco anos. Para isso, utilizamos as taxas de referência constantes nos DPIN anteriores, obedecendo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portarias vigentes em cada exercício correspondente.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Sobre os DPIN:</w:t>
      </w:r>
    </w:p>
    <w:p>
      <w:pPr>
        <w:pStyle w:val="Style1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36" w:val="left"/>
        </w:tabs>
        <w:bidi w:val="0"/>
        <w:spacing w:before="0" w:after="0" w:line="240" w:lineRule="auto"/>
        <w:ind w:left="380" w:right="0" w:firstLine="0"/>
        <w:jc w:val="left"/>
        <w:rPr>
          <w:sz w:val="24"/>
          <w:szCs w:val="24"/>
        </w:rPr>
      </w:pPr>
      <w:bookmarkStart w:id="2" w:name="bookmark2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DPIN 2025 IPCA+5,47%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Sobre a da TAXA da PI conforme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 MPS n° 1499/2024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6" w:val="left"/>
        </w:tabs>
        <w:bidi w:val="0"/>
        <w:spacing w:before="0" w:after="0" w:line="240" w:lineRule="auto"/>
        <w:ind w:left="3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DPIN 2024: IPCA+5,10%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40" w:right="0" w:firstLine="0"/>
        <w:jc w:val="both"/>
      </w:pP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6870700</wp:posOffset>
            </wp:positionH>
            <wp:positionV relativeFrom="margin">
              <wp:posOffset>7340600</wp:posOffset>
            </wp:positionV>
            <wp:extent cx="494030" cy="1645920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494030" cy="16459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Sobre a da TAXA da PI conforme PORTARIA MPS n° 3.289, de 23 de agosto de 2023)</w:t>
      </w:r>
      <w:r>
        <w:br w:type="page"/>
      </w:r>
    </w:p>
    <w:p>
      <w:pPr>
        <w:pStyle w:val="Style1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20" w:val="left"/>
        </w:tabs>
        <w:bidi w:val="0"/>
        <w:spacing w:before="0" w:after="0" w:line="240" w:lineRule="auto"/>
        <w:ind w:left="360" w:right="0" w:firstLine="0"/>
        <w:jc w:val="left"/>
        <w:rPr>
          <w:sz w:val="24"/>
          <w:szCs w:val="24"/>
        </w:rPr>
      </w:pPr>
      <w:bookmarkStart w:id="3" w:name="bookmark3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DPIN 2023: IPCA+ 4,90%</w:t>
      </w:r>
      <w:bookmarkEnd w:id="3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Sobre a da TAXA da PI, conforme PORTARIA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SPREV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N° 1,837, DE 30 DE JUNHO DE 2022).</w:t>
      </w:r>
    </w:p>
    <w:p>
      <w:pPr>
        <w:pStyle w:val="Style1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20" w:val="left"/>
        </w:tabs>
        <w:bidi w:val="0"/>
        <w:spacing w:before="0" w:after="180" w:line="240" w:lineRule="auto"/>
        <w:ind w:left="360" w:right="0" w:firstLine="0"/>
        <w:jc w:val="left"/>
        <w:rPr>
          <w:sz w:val="24"/>
          <w:szCs w:val="24"/>
        </w:rPr>
      </w:pPr>
      <w:bookmarkStart w:id="4" w:name="bookmark4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DPIN 2022: IPCA+ 5,04%.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00" w:line="257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Sobre a da TAXA da PI, conforme PORTARIA SPREV N° 6.132, DE 25 DE MAIO DE 2021.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Não havendo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nada a deliberar.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05" w:left="1449" w:right="1753" w:bottom="1465" w:header="0" w:footer="1037" w:gutter="0"/>
          <w:cols w:space="720"/>
          <w:noEndnote/>
          <w:rtlGutter w:val="0"/>
          <w:docGrid w:linePitch="360"/>
        </w:sectPr>
      </w:pPr>
      <w:r>
        <w:drawing>
          <wp:anchor distT="554355" distB="3451860" distL="0" distR="0" simplePos="0" relativeHeight="125829385" behindDoc="0" locked="0" layoutInCell="1" allowOverlap="1">
            <wp:simplePos x="0" y="0"/>
            <wp:positionH relativeFrom="page">
              <wp:posOffset>2081530</wp:posOffset>
            </wp:positionH>
            <wp:positionV relativeFrom="paragraph">
              <wp:posOffset>554355</wp:posOffset>
            </wp:positionV>
            <wp:extent cx="3194050" cy="8534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194050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1600" distB="4059555" distL="0" distR="0" simplePos="0" relativeHeight="125829386" behindDoc="0" locked="0" layoutInCell="1" allowOverlap="1">
            <wp:simplePos x="0" y="0"/>
            <wp:positionH relativeFrom="page">
              <wp:posOffset>6598285</wp:posOffset>
            </wp:positionH>
            <wp:positionV relativeFrom="paragraph">
              <wp:posOffset>101600</wp:posOffset>
            </wp:positionV>
            <wp:extent cx="524510" cy="7010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52451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64640" distB="2967355" distL="0" distR="0" simplePos="0" relativeHeight="125829387" behindDoc="0" locked="0" layoutInCell="1" allowOverlap="1">
            <wp:simplePos x="0" y="0"/>
            <wp:positionH relativeFrom="page">
              <wp:posOffset>2245995</wp:posOffset>
            </wp:positionH>
            <wp:positionV relativeFrom="paragraph">
              <wp:posOffset>1564640</wp:posOffset>
            </wp:positionV>
            <wp:extent cx="591185" cy="32893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59118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852930" distB="2596515" distL="0" distR="0" simplePos="0" relativeHeight="125829388" behindDoc="0" locked="0" layoutInCell="1" allowOverlap="1">
                <wp:simplePos x="0" y="0"/>
                <wp:positionH relativeFrom="page">
                  <wp:posOffset>2470150</wp:posOffset>
                </wp:positionH>
                <wp:positionV relativeFrom="paragraph">
                  <wp:posOffset>1852930</wp:posOffset>
                </wp:positionV>
                <wp:extent cx="2450465" cy="41148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50465" cy="411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FÁBIO DE FRANÇA PINHEIRO</w:t>
                            </w:r>
                            <w:bookmarkEnd w:id="1"/>
                          </w:p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Presidente do Conselho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94.5pt;margin-top:145.90000000000001pt;width:192.94999999999999pt;height:32.399999999999999pt;z-index:-125829365;mso-wrap-distance-left:0;mso-wrap-distance-top:145.90000000000001pt;mso-wrap-distance-right:0;mso-wrap-distance-bottom:204.44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bookmarkStart w:id="1" w:name="bookmark1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FÁBIO DE FRANÇA PINHEIRO</w:t>
                      </w:r>
                      <w:bookmarkEnd w:id="1"/>
                    </w:p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Presidente do Conselho Administrativo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98550" distB="2729230" distL="0" distR="0" simplePos="0" relativeHeight="125829390" behindDoc="0" locked="0" layoutInCell="1" allowOverlap="1">
            <wp:simplePos x="0" y="0"/>
            <wp:positionH relativeFrom="page">
              <wp:posOffset>6475095</wp:posOffset>
            </wp:positionH>
            <wp:positionV relativeFrom="paragraph">
              <wp:posOffset>1098550</wp:posOffset>
            </wp:positionV>
            <wp:extent cx="597535" cy="103632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597535" cy="1036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364740" distB="1554480" distL="0" distR="0" simplePos="0" relativeHeight="125829391" behindDoc="0" locked="0" layoutInCell="1" allowOverlap="1">
            <wp:simplePos x="0" y="0"/>
            <wp:positionH relativeFrom="page">
              <wp:posOffset>1893570</wp:posOffset>
            </wp:positionH>
            <wp:positionV relativeFrom="paragraph">
              <wp:posOffset>2364740</wp:posOffset>
            </wp:positionV>
            <wp:extent cx="3578225" cy="94488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3578225" cy="944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634615" distB="1659255" distL="0" distR="0" simplePos="0" relativeHeight="125829392" behindDoc="0" locked="0" layoutInCell="1" allowOverlap="1">
            <wp:simplePos x="0" y="0"/>
            <wp:positionH relativeFrom="page">
              <wp:posOffset>6657975</wp:posOffset>
            </wp:positionH>
            <wp:positionV relativeFrom="paragraph">
              <wp:posOffset>2634615</wp:posOffset>
            </wp:positionV>
            <wp:extent cx="353695" cy="56705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353695" cy="5670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613150" distB="731520" distL="0" distR="0" simplePos="0" relativeHeight="125829393" behindDoc="0" locked="0" layoutInCell="1" allowOverlap="1">
                <wp:simplePos x="0" y="0"/>
                <wp:positionH relativeFrom="page">
                  <wp:posOffset>1838960</wp:posOffset>
                </wp:positionH>
                <wp:positionV relativeFrom="paragraph">
                  <wp:posOffset>3613150</wp:posOffset>
                </wp:positionV>
                <wp:extent cx="3689350" cy="5168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0" cy="5168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513"/>
                              <w:gridCol w:w="238"/>
                              <w:gridCol w:w="3060"/>
                            </w:tblGrid>
                            <w:tr>
                              <w:trPr>
                                <w:tblHeader/>
                                <w:trHeight w:val="54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i/>
                                      <w:iCs/>
                                      <w:color w:val="605AA0"/>
                                      <w:spacing w:val="0"/>
                                      <w:w w:val="100"/>
                                      <w:position w:val="0"/>
                                      <w:sz w:val="24"/>
                                      <w:szCs w:val="24"/>
                                      <w:shd w:val="clear" w:color="auto" w:fill="auto"/>
                                      <w:lang w:val="pt-PT" w:eastAsia="pt-PT" w:bidi="pt-PT"/>
                                    </w:rPr>
                                    <w:t>c</w:t>
                                  </w:r>
                                  <w:r>
                                    <w:rPr>
                                      <w:i/>
                                      <w:iCs/>
                                      <w:color w:val="8181D5"/>
                                      <w:spacing w:val="0"/>
                                      <w:w w:val="100"/>
                                      <w:position w:val="0"/>
                                      <w:sz w:val="24"/>
                                      <w:szCs w:val="24"/>
                                      <w:shd w:val="clear" w:color="auto" w:fill="auto"/>
                                      <w:lang w:val="pt-PT" w:eastAsia="pt-PT" w:bidi="pt-PT"/>
                                    </w:rPr>
                                    <w:t>—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22"/>
                                      <w:szCs w:val="22"/>
                                      <w:shd w:val="clear" w:color="auto" w:fill="auto"/>
                                      <w:lang w:val="pt-PT" w:eastAsia="pt-PT" w:bidi="pt-PT"/>
                                    </w:rPr>
                                    <w:t>MARIA ARMINDÁxFlJ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22"/>
                                      <w:szCs w:val="22"/>
                                      <w:shd w:val="clear" w:color="auto" w:fill="auto"/>
                                      <w:lang w:val="pt-PT" w:eastAsia="pt-PT" w:bidi="pt-PT"/>
                                    </w:rPr>
                                    <w:t>LlCIANO DO NASCIMENTO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44.80000000000001pt;margin-top:284.5pt;width:290.5pt;height:40.700000000000003pt;z-index:-125829360;mso-wrap-distance-left:0;mso-wrap-distance-top:284.5pt;mso-wrap-distance-right:0;mso-wrap-distance-bottom:57.600000000000001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513"/>
                        <w:gridCol w:w="238"/>
                        <w:gridCol w:w="3060"/>
                      </w:tblGrid>
                      <w:tr>
                        <w:trPr>
                          <w:tblHeader/>
                          <w:trHeight w:val="54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i/>
                                <w:iCs/>
                                <w:color w:val="605AA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c</w:t>
                            </w:r>
                            <w:r>
                              <w:rPr>
                                <w:i/>
                                <w:iCs/>
                                <w:color w:val="8181D5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—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6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MARIA ARMINDÁxFlJ</w:t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LlCIANO DO NASCIMENTO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2524760</wp:posOffset>
                </wp:positionH>
                <wp:positionV relativeFrom="paragraph">
                  <wp:posOffset>4120515</wp:posOffset>
                </wp:positionV>
                <wp:extent cx="2313305" cy="20574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3305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Membro do Conselho Administrativo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98.80000000000001pt;margin-top:324.44999999999999pt;width:182.15000000000001pt;height:16.1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Membro do Conselho Administrativo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3745230" distB="0" distL="0" distR="0" simplePos="0" relativeHeight="125829395" behindDoc="0" locked="0" layoutInCell="1" allowOverlap="1">
            <wp:simplePos x="0" y="0"/>
            <wp:positionH relativeFrom="page">
              <wp:posOffset>6424930</wp:posOffset>
            </wp:positionH>
            <wp:positionV relativeFrom="paragraph">
              <wp:posOffset>3745230</wp:posOffset>
            </wp:positionV>
            <wp:extent cx="743585" cy="1115695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743585" cy="11156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1865" w:val="left"/>
        </w:tabs>
        <w:bidi w:val="0"/>
        <w:spacing w:before="0" w:after="0" w:line="240" w:lineRule="auto"/>
        <w:ind w:left="0" w:right="0" w:firstLine="0"/>
        <w:jc w:val="both"/>
      </w:pPr>
      <w:r>
        <w:drawing>
          <wp:anchor distT="0" distB="0" distL="0" distR="0" simplePos="0" relativeHeight="125829396" behindDoc="0" locked="0" layoutInCell="1" allowOverlap="1">
            <wp:simplePos x="0" y="0"/>
            <wp:positionH relativeFrom="page">
              <wp:posOffset>1848485</wp:posOffset>
            </wp:positionH>
            <wp:positionV relativeFrom="paragraph">
              <wp:posOffset>38100</wp:posOffset>
            </wp:positionV>
            <wp:extent cx="426720" cy="29845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42672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605AA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&lt; g</w:t>
        <w:tab/>
      </w:r>
      <w:r>
        <w:rPr>
          <w:rFonts w:ascii="Times New Roman" w:eastAsia="Times New Roman" w:hAnsi="Times New Roman" w:cs="Times New Roman"/>
          <w:smallCaps/>
          <w:color w:val="605AA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 xml:space="preserve">QcclOíÍ- </w:t>
      </w:r>
      <w:r>
        <w:rPr>
          <w:i/>
          <w:iCs/>
          <w:color w:val="605AA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tCbLcnjOudõ'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ANDREIA GURGEL DOURADO</w:t>
      </w:r>
      <w:bookmarkEnd w:id="5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34" w:left="1777" w:right="1469" w:bottom="2034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Membro do Conselho Administrativo</w:t>
      </w:r>
    </w:p>
    <w:p>
      <w:pPr>
        <w:widowControl w:val="0"/>
        <w:spacing w:after="0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3309620</wp:posOffset>
            </wp:positionH>
            <wp:positionV relativeFrom="margin">
              <wp:posOffset>-1014730</wp:posOffset>
            </wp:positionV>
            <wp:extent cx="499745" cy="63373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499745" cy="6337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73" w:left="1568" w:right="647" w:bottom="5022" w:header="0" w:footer="4594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73" w:left="0" w:right="0" w:bottom="157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397" behindDoc="0" locked="0" layoutInCell="1" allowOverlap="1">
            <wp:simplePos x="0" y="0"/>
            <wp:positionH relativeFrom="page">
              <wp:posOffset>4498340</wp:posOffset>
            </wp:positionH>
            <wp:positionV relativeFrom="paragraph">
              <wp:posOffset>598805</wp:posOffset>
            </wp:positionV>
            <wp:extent cx="347345" cy="30480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347345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98" behindDoc="0" locked="0" layoutInCell="1" allowOverlap="1">
            <wp:simplePos x="0" y="0"/>
            <wp:positionH relativeFrom="page">
              <wp:posOffset>5988685</wp:posOffset>
            </wp:positionH>
            <wp:positionV relativeFrom="paragraph">
              <wp:posOffset>2752090</wp:posOffset>
            </wp:positionV>
            <wp:extent cx="1158240" cy="3102610"/>
            <wp:wrapSquare wrapText="bothSides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1158240" cy="31026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LAECSON FERNANDES BASTOS</w:t>
      </w:r>
      <w:bookmarkEnd w:id="6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Membro do Conselho Administrativo</w:t>
      </w:r>
    </w:p>
    <w:p>
      <w:pPr>
        <w:pStyle w:val="Style14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FRANCISCO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TÓNIO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MONTEIRO DA SILVA</w:t>
      </w:r>
      <w:bookmarkEnd w:id="7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Membro do Conselho Fiscal</w:t>
      </w:r>
    </w:p>
    <w:p>
      <w:pPr>
        <w:pStyle w:val="Style1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MARIA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DAS DORES MORAIS DA SILVA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Membro do Conselho Fiscal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hyphen" w:pos="1289" w:val="left"/>
          <w:tab w:leader="underscore" w:pos="48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ab/>
        <w:tab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ELIZABEtE ANDRADE MARQUES</w:t>
      </w:r>
      <w:bookmarkEnd w:id="8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40" w:line="233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Membro conselho Fiscal</w:t>
      </w:r>
    </w:p>
    <w:p>
      <w:pPr>
        <w:pStyle w:val="Style1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ALAN ALVES DE FRANÇA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Membro conselho Administrativo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73" w:left="3289" w:right="3614" w:bottom="157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954405</wp:posOffset>
              </wp:positionH>
              <wp:positionV relativeFrom="page">
                <wp:posOffset>685800</wp:posOffset>
              </wp:positionV>
              <wp:extent cx="5403850" cy="29273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0385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FUNDO DE APOSENTADORIA E PENSIONISTAS DOS SERVIDORES MUNICIPAIS DE ENVIRA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5.150000000000006pt;margin-top:54.pt;width:425.5pt;height:23.05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FUNDO DE APOSENTADORIA E PENSIONISTAS DOS SERVIDORES MUNICIPAIS DE ENVIRA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2|1_"/>
    <w:basedOn w:val="DefaultParagraphFont"/>
    <w:link w:val="Style1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22">
    <w:name w:val="Table caption|1_"/>
    <w:basedOn w:val="DefaultParagraphFont"/>
    <w:link w:val="Style21"/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spacing w:after="140" w:line="25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6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140" w:line="25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ind w:left="70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spacing w:after="740"/>
      <w:jc w:val="center"/>
    </w:pPr>
    <w:rPr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21">
    <w:name w:val="Table caption|1"/>
    <w:basedOn w:val="Normal"/>
    <w:link w:val="CharStyle2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image" Target="media/image10.jpeg"/><Relationship Id="rId25" Type="http://schemas.openxmlformats.org/officeDocument/2006/relationships/image" Target="media/image10.jpeg" TargetMode="External"/><Relationship Id="rId26" Type="http://schemas.openxmlformats.org/officeDocument/2006/relationships/image" Target="media/image11.jpeg"/><Relationship Id="rId27" Type="http://schemas.openxmlformats.org/officeDocument/2006/relationships/image" Target="media/image11.jpeg" TargetMode="Externa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png"/><Relationship Id="rId35" Type="http://schemas.openxmlformats.org/officeDocument/2006/relationships/image" Target="media/image15.pn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/Relationships>
</file>