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ATA N° 001/2026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os membros do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COMTÊ DE INVESTIMENTO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cumprindo o previsto nas legislações em vigor, analisaram a minuta da Política Anual de Investimentos para o exercício 2026.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Política de Investimentos foi elaborada em parceria com a consultoria Referência e a meta da PI será de IPCA+6%. Seguindo as premissas da taxa-parâmetro fixadas na Portaria MPS n° 2.010/2025, sendo que a estratégia-alvo ficou fixada em 100%.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Observou-se que o presente documento foi elaborado conforme determina a Resolução CMN 5.272/2025 e a Portaria 1.467/2022.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política monetária a ser conduzida pelo Banco Central do Brasil precisará,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uma vez, encontrar adequado equilíbrio entre o controle da inflação e o incentivo ao crescimento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econômico,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 as projeções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recentes para o IPCA e a Selic — ambas em recuo em relação a 2025 — já servindo como importante sinalizador de otimismo para o mercado em 2026.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 o espaço fiscal cada vez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restrito, a tendência de que medidas governamentais consigam mitigar os efeitos de uma política monetária contracionista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torna-se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menos provável, sendo importante frisar que as previsões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PIB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para o próximo ano indicam nova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desaceleração econômica.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Ainda sob o aspecto fiscal,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conclui-se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que o governo mantém dificuldades em transmitir ao mercado de que forma será alcançado o prometido equilíbrio das contas públicas, o que eleva as incertezas quanto à real viabilidade 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superávit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primário no próximo exercício.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Diante desse cenário, a preferência permanece por títulos de prazos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curtos, ao menos no primeiro semestre de 2026, período em que a rigidez da política monetária tende a se manter. Contudo, uma vez que a inflação se mostre efetivamente controlada, acompanhada da esperada redução da Selic e de um cenário externo menos volátil — em especial após estabilização das relações comerciais —, as opções de prazo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longo poderão novamente se tornar atrativas, repetindo o desempenho observado em boa parte de 2025.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Em outras palavras: o primeiro semestre de 2026 poderá servir como um importante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termômetro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quanto aos rumos da inflação no Brasil, o que, em última instância, exercerá papel fundamental na condução da política monetária, especialmente na definição da Selic.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Considerando o histórico de posicionamento em investimentos do RPPS e ponderando o posicionamento de seus gestores, ressalta-se que o RPPS possui o perfil de investidor (conservador ou moderado ver na PI.)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Após a apresentação e os esclarecimentos relativos à presente Política de Investimentos, os membros finalizaram o esboço, ressalta-se que sua aprovação será efetivada pelo conselho do RPPS.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anexo, segue o Quadro Resumo da Política de Investimentos - Resolução CNM n° 5.272/2025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5530"/>
        <w:gridCol w:w="864"/>
        <w:gridCol w:w="857"/>
        <w:gridCol w:w="526"/>
        <w:gridCol w:w="662"/>
        <w:gridCol w:w="547"/>
      </w:tblGrid>
      <w:tr>
        <w:trPr>
          <w:trHeight w:val="266" w:hRule="exact"/>
        </w:trPr>
        <w:tc>
          <w:tcPr>
            <w:gridSpan w:val="6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RESUMO DA POLÍTICA DE INVESTIMENTOS - RESOLUÇÃO CMN n® 5.272/2025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Alocação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dos recursos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Alocação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dos Recursos/Diversificação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1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Limite da Resolução 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Limite do Inciso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Limite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Inferior 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Estratégia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Alvo 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Limite de Superior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Renda Fixa - Art. 7®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100,0%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Classes de fundos de investimento/ETF -100% Títulos Públicos - Art. 7®,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100%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100%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99,5%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100,0%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—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Títulos de emissão do Tesouro Nacional - Oferta primária ou plataforma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eletrônica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- Art. 7®, 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100%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100%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0,5%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50,0%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Titukss de emissão do Tesouro Nacional - registrado na Selic - Art. 7», III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100%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Operações Compromissadas - 100% Títulos Públicos SELIC - Art. 7®. IV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5%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Classes de fundos de investimento/ETF - Renda Fixa - Art 7®, 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80%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35,0%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Ativos de renda fixa emitidos por instituições financeiras - Art. 7®, VI (observados limites por instituição)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20%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Classes de fundos de investimento - Renda fixa - Crédito Privado - Art. 7®, VII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0.0%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1,0%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Classes de fundos de investimento - Leis n® 12.431/2011 e 14.801/2024 - Art. 7®, VIII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Cotas de subclasses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sênior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FIDC - Art. 7®, IX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20%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Renda Variável - Art. 8®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Classes de fundos de investimentos - Ações - Art. 8®,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1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□asses de ETF de Ações - Art 8®, 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50%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Classes de ETF BDR-Ações - BDR-ETF de Ações - Art. 8®, III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0.0%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Classes de ETF Internacional - Art 8®, IV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Investimento no Exterior - Art. 9®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Classes de fundos de investimento - Renda Fixa - Divida Externa - Art. 9®,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Classes de fundos de investimento no exterior -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Investidores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Qualificados - Art. 9®. 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Classes de fundos de investimento no exterior -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Investidores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 Geral - Art. 9®, III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Estruturados - Art. 10®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Classes de fundos de investimento - Multimercado - Art 10,1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9,0%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Classes de Fiagro - Art. 10, 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20%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Classes de FIP - Art. 10, III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0.0%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Classes de fundos de investimento - Ações Mercado de Acesso - Art. 10, IV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Imobiliários - Art. 11®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Fundo/Classe de Investimento Imobiliário - Art 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20%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Empréstimos Consignados Art. 12®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| Empréstimos Consignados - Art 12®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5%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5%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0,0%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| 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100,00%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998" w:left="1259" w:right="1230" w:bottom="1616" w:header="0" w:footer="1188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444500" distB="0" distL="114300" distR="114300" simplePos="0" relativeHeight="125829378" behindDoc="0" locked="0" layoutInCell="1" allowOverlap="1">
            <wp:simplePos x="0" y="0"/>
            <wp:positionH relativeFrom="page">
              <wp:posOffset>2669540</wp:posOffset>
            </wp:positionH>
            <wp:positionV relativeFrom="margin">
              <wp:posOffset>4613275</wp:posOffset>
            </wp:positionV>
            <wp:extent cx="2261870" cy="90805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2261870" cy="9080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88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98" w:left="0" w:right="0" w:bottom="379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3409950</wp:posOffset>
            </wp:positionH>
            <wp:positionV relativeFrom="paragraph">
              <wp:posOffset>12700</wp:posOffset>
            </wp:positionV>
            <wp:extent cx="628015" cy="304800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628015" cy="3048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ANTONIO MÁRCIO DA COSTA MENDES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7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98" w:left="1274" w:right="1641" w:bottom="379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de Recursos</w:t>
      </w:r>
    </w:p>
    <w:p>
      <w:pPr>
        <w:widowControl w:val="0"/>
        <w:spacing w:before="117" w:after="11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98" w:left="0" w:right="0" w:bottom="199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MARIA ARMINDA FEI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IANO DO NASCIMENTO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998" w:left="3578" w:right="3484" w:bottom="1998" w:header="0" w:footer="3" w:gutter="0"/>
      <w:cols w:num="2" w:space="720" w:equalWidth="0">
        <w:col w:w="2124" w:space="274"/>
        <w:col w:w="2441"/>
      </w:cols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1083310</wp:posOffset>
              </wp:positionH>
              <wp:positionV relativeFrom="page">
                <wp:posOffset>687705</wp:posOffset>
              </wp:positionV>
              <wp:extent cx="5408930" cy="2882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08930" cy="288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FUNDO DE APOSENTADORIA E PENSIONISTAS DOS SERVIDORES MUNICIPAIS DE ENVIRA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85.299999999999997pt;margin-top:54.149999999999999pt;width:425.89999999999998pt;height:22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FUNDO DE APOSENTADORIA E PENSIONISTAS DOS SERVIDORES MUNICIPAIS DE ENVIRA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16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after="160" w:line="25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  <w:spacing w:after="160" w:line="25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/Relationships>
</file>