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859790" cy="58547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859790" cy="585470"/>
                    </a:xfrm>
                    <a:prstGeom prst="rect"/>
                  </pic:spPr>
                </pic:pic>
              </a:graphicData>
            </a:graphic>
          </wp:inline>
        </w:drawing>
      </w:r>
    </w:p>
    <w:p>
      <w:pPr>
        <w:widowControl w:val="0"/>
        <w:spacing w:after="159" w:line="1" w:lineRule="exact"/>
      </w:pPr>
    </w:p>
    <w:p>
      <w:pPr>
        <w:pStyle w:val="Style6"/>
        <w:keepNext/>
        <w:keepLines/>
        <w:widowControl w:val="0"/>
        <w:shd w:val="clear" w:color="auto" w:fill="auto"/>
        <w:bidi w:val="0"/>
        <w:spacing w:before="0" w:after="100" w:line="240" w:lineRule="auto"/>
        <w:ind w:left="0" w:right="0" w:firstLine="0"/>
        <w:jc w:val="center"/>
        <w:rPr>
          <w:sz w:val="22"/>
          <w:szCs w:val="22"/>
        </w:rPr>
      </w:pPr>
      <w:bookmarkStart w:id="0" w:name="bookmark0"/>
      <w:r>
        <w:rPr>
          <w:rStyle w:val="CharStyle7"/>
          <w:rFonts w:ascii="Times New Roman" w:eastAsia="Times New Roman" w:hAnsi="Times New Roman" w:cs="Times New Roman"/>
          <w:b/>
          <w:bCs/>
          <w:sz w:val="22"/>
          <w:szCs w:val="22"/>
          <w:lang w:val="pt-BR" w:eastAsia="pt-BR" w:bidi="pt-BR"/>
        </w:rPr>
        <w:t>PREFEITURA MUNICIPAL DE CAREIRO DA VÁRZEA</w:t>
      </w:r>
      <w:bookmarkEnd w:id="0"/>
    </w:p>
    <w:p>
      <w:pPr>
        <w:pStyle w:val="Style9"/>
        <w:keepNext w:val="0"/>
        <w:keepLines w:val="0"/>
        <w:widowControl w:val="0"/>
        <w:shd w:val="clear" w:color="auto" w:fill="auto"/>
        <w:bidi w:val="0"/>
        <w:spacing w:before="0" w:after="300" w:line="240" w:lineRule="auto"/>
        <w:ind w:left="0" w:right="0" w:firstLine="0"/>
        <w:jc w:val="center"/>
      </w:pPr>
      <w:r>
        <w:rPr>
          <w:rStyle w:val="CharStyle10"/>
          <w:b/>
          <w:bCs/>
          <w:lang w:val="pt-BR" w:eastAsia="pt-BR" w:bidi="pt-BR"/>
        </w:rPr>
        <w:t>1 1L Ml? I ÍVr.F 1.1 I W</w:t>
      </w:r>
    </w:p>
    <w:p>
      <w:pPr>
        <w:pStyle w:val="Style6"/>
        <w:keepNext/>
        <w:keepLines/>
        <w:widowControl w:val="0"/>
        <w:shd w:val="clear" w:color="auto" w:fill="auto"/>
        <w:bidi w:val="0"/>
        <w:spacing w:before="0" w:after="460" w:line="240" w:lineRule="auto"/>
        <w:ind w:left="0" w:right="0" w:firstLine="0"/>
        <w:jc w:val="center"/>
      </w:pPr>
      <w:bookmarkStart w:id="2" w:name="bookmark2"/>
      <w:r>
        <w:rPr>
          <w:rStyle w:val="CharStyle7"/>
          <w:b/>
          <w:bCs/>
          <w:u w:val="single"/>
          <w:lang w:val="pt-BR" w:eastAsia="pt-BR" w:bidi="pt-BR"/>
        </w:rPr>
        <w:t>LEI MUNICIPAL Ng 733, DE 30 DE JULHO DE 2026</w:t>
      </w:r>
      <w:bookmarkEnd w:id="2"/>
    </w:p>
    <w:p>
      <w:pPr>
        <w:pStyle w:val="Style4"/>
        <w:keepNext w:val="0"/>
        <w:keepLines w:val="0"/>
        <w:widowControl w:val="0"/>
        <w:shd w:val="clear" w:color="auto" w:fill="auto"/>
        <w:bidi w:val="0"/>
        <w:spacing w:before="0" w:after="460"/>
        <w:ind w:left="5520" w:right="0" w:firstLine="0"/>
        <w:jc w:val="both"/>
      </w:pPr>
      <w:r>
        <w:rPr>
          <w:rStyle w:val="CharStyle5"/>
          <w:color w:val="862219"/>
          <w:lang w:val="pt-BR" w:eastAsia="pt-BR" w:bidi="pt-BR"/>
        </w:rPr>
        <w:t>Dispõe sobre as diretrizes para a elaboração da Lei Orçamentária para o exercício de 2027 e dá outras providências.</w:t>
      </w:r>
    </w:p>
    <w:p>
      <w:pPr>
        <w:pStyle w:val="Style4"/>
        <w:keepNext w:val="0"/>
        <w:keepLines w:val="0"/>
        <w:widowControl w:val="0"/>
        <w:shd w:val="clear" w:color="auto" w:fill="auto"/>
        <w:bidi w:val="0"/>
        <w:spacing w:before="0" w:after="460" w:line="350" w:lineRule="auto"/>
        <w:ind w:left="0" w:right="0" w:firstLine="560"/>
        <w:jc w:val="both"/>
      </w:pPr>
      <w:r>
        <w:rPr>
          <w:rStyle w:val="CharStyle5"/>
          <w:b/>
          <w:bCs/>
          <w:lang w:val="pt-BR" w:eastAsia="pt-BR" w:bidi="pt-BR"/>
        </w:rPr>
        <w:t xml:space="preserve">O PREFEITO DO MUNICÍPIO DE CAREIRO DA VÁRZEA/AM, </w:t>
      </w:r>
      <w:r>
        <w:rPr>
          <w:rStyle w:val="CharStyle5"/>
          <w:lang w:val="pt-BR" w:eastAsia="pt-BR" w:bidi="pt-BR"/>
        </w:rPr>
        <w:t>no uso das atribuições que lhe confere o art. 67, inciso IV, da Lei Orgânica do Município de Careiro da Várzea, Faz saber que Câmara Municipal de Careiro da Várzea aprovou e eu SANCIONO a seguinte LEI:</w:t>
      </w:r>
    </w:p>
    <w:p>
      <w:pPr>
        <w:pStyle w:val="Style4"/>
        <w:keepNext w:val="0"/>
        <w:keepLines w:val="0"/>
        <w:widowControl w:val="0"/>
        <w:shd w:val="clear" w:color="auto" w:fill="auto"/>
        <w:bidi w:val="0"/>
        <w:spacing w:before="0" w:line="346" w:lineRule="auto"/>
        <w:ind w:left="0" w:right="0" w:firstLine="560"/>
        <w:jc w:val="both"/>
      </w:pPr>
      <w:r>
        <w:rPr>
          <w:rStyle w:val="CharStyle5"/>
          <w:lang w:val="pt-BR" w:eastAsia="pt-BR" w:bidi="pt-BR"/>
        </w:rPr>
        <w:t>Art. 1$ O Orçamento do Município de Careiro da Várzea, Estado do Amazonas, para o exercício de 2027, será elaborado e executado observando as diretrizes, objetivos, prioridades e metas estabelecidas nesta Lei, compreendendo:</w:t>
      </w:r>
    </w:p>
    <w:p>
      <w:pPr>
        <w:pStyle w:val="Style4"/>
        <w:keepNext w:val="0"/>
        <w:keepLines w:val="0"/>
        <w:widowControl w:val="0"/>
        <w:shd w:val="clear" w:color="auto" w:fill="auto"/>
        <w:bidi w:val="0"/>
        <w:spacing w:before="0" w:after="220" w:line="240" w:lineRule="auto"/>
        <w:ind w:left="0" w:right="0" w:firstLine="560"/>
        <w:jc w:val="both"/>
      </w:pPr>
      <w:r>
        <w:rPr>
          <w:rStyle w:val="CharStyle5"/>
          <w:lang w:val="pt-BR" w:eastAsia="pt-BR" w:bidi="pt-BR"/>
        </w:rPr>
        <w:t>I - as Metas Fiscais;</w:t>
      </w:r>
    </w:p>
    <w:p>
      <w:pPr>
        <w:pStyle w:val="Style4"/>
        <w:keepNext w:val="0"/>
        <w:keepLines w:val="0"/>
        <w:widowControl w:val="0"/>
        <w:numPr>
          <w:ilvl w:val="0"/>
          <w:numId w:val="1"/>
        </w:numPr>
        <w:shd w:val="clear" w:color="auto" w:fill="auto"/>
        <w:tabs>
          <w:tab w:pos="839" w:val="left"/>
        </w:tabs>
        <w:bidi w:val="0"/>
        <w:spacing w:before="0" w:after="220" w:line="240" w:lineRule="auto"/>
        <w:ind w:left="0" w:right="0" w:firstLine="560"/>
        <w:jc w:val="both"/>
      </w:pPr>
      <w:r>
        <w:rPr>
          <w:rStyle w:val="CharStyle5"/>
          <w:lang w:val="pt-BR" w:eastAsia="pt-BR" w:bidi="pt-BR"/>
        </w:rPr>
        <w:t>- as Prioridades da Administração Municipal;</w:t>
      </w:r>
    </w:p>
    <w:p>
      <w:pPr>
        <w:pStyle w:val="Style4"/>
        <w:keepNext w:val="0"/>
        <w:keepLines w:val="0"/>
        <w:widowControl w:val="0"/>
        <w:numPr>
          <w:ilvl w:val="0"/>
          <w:numId w:val="1"/>
        </w:numPr>
        <w:shd w:val="clear" w:color="auto" w:fill="auto"/>
        <w:tabs>
          <w:tab w:pos="897" w:val="left"/>
        </w:tabs>
        <w:bidi w:val="0"/>
        <w:spacing w:before="0" w:after="220" w:line="240" w:lineRule="auto"/>
        <w:ind w:left="0" w:right="0" w:firstLine="560"/>
        <w:jc w:val="both"/>
      </w:pPr>
      <w:r>
        <w:rPr>
          <w:rStyle w:val="CharStyle5"/>
          <w:lang w:val="pt-BR" w:eastAsia="pt-BR" w:bidi="pt-BR"/>
        </w:rPr>
        <w:t>- a Estrutura dos Orçamentos;</w:t>
      </w:r>
    </w:p>
    <w:p>
      <w:pPr>
        <w:pStyle w:val="Style4"/>
        <w:keepNext w:val="0"/>
        <w:keepLines w:val="0"/>
        <w:widowControl w:val="0"/>
        <w:numPr>
          <w:ilvl w:val="0"/>
          <w:numId w:val="1"/>
        </w:numPr>
        <w:shd w:val="clear" w:color="auto" w:fill="auto"/>
        <w:tabs>
          <w:tab w:pos="925" w:val="left"/>
        </w:tabs>
        <w:bidi w:val="0"/>
        <w:spacing w:before="0" w:after="220" w:line="240" w:lineRule="auto"/>
        <w:ind w:left="0" w:right="0" w:firstLine="560"/>
        <w:jc w:val="both"/>
      </w:pPr>
      <w:r>
        <w:rPr>
          <w:rStyle w:val="CharStyle5"/>
          <w:lang w:val="pt-BR" w:eastAsia="pt-BR" w:bidi="pt-BR"/>
        </w:rPr>
        <w:t>- as Diretrizes para a Elaboração do Orçamento do Município;</w:t>
      </w:r>
    </w:p>
    <w:p>
      <w:pPr>
        <w:pStyle w:val="Style4"/>
        <w:keepNext w:val="0"/>
        <w:keepLines w:val="0"/>
        <w:widowControl w:val="0"/>
        <w:numPr>
          <w:ilvl w:val="0"/>
          <w:numId w:val="1"/>
        </w:numPr>
        <w:shd w:val="clear" w:color="auto" w:fill="auto"/>
        <w:tabs>
          <w:tab w:pos="882" w:val="left"/>
        </w:tabs>
        <w:bidi w:val="0"/>
        <w:spacing w:before="0" w:after="220" w:line="240" w:lineRule="auto"/>
        <w:ind w:left="0" w:right="0" w:firstLine="560"/>
        <w:jc w:val="both"/>
      </w:pPr>
      <w:r>
        <w:rPr>
          <w:rStyle w:val="CharStyle5"/>
          <w:lang w:val="pt-BR" w:eastAsia="pt-BR" w:bidi="pt-BR"/>
        </w:rPr>
        <w:t>- as Disposições sobre a Dívida Pública Municipal;</w:t>
      </w:r>
    </w:p>
    <w:p>
      <w:pPr>
        <w:pStyle w:val="Style4"/>
        <w:keepNext w:val="0"/>
        <w:keepLines w:val="0"/>
        <w:widowControl w:val="0"/>
        <w:numPr>
          <w:ilvl w:val="0"/>
          <w:numId w:val="1"/>
        </w:numPr>
        <w:shd w:val="clear" w:color="auto" w:fill="auto"/>
        <w:tabs>
          <w:tab w:pos="925" w:val="left"/>
        </w:tabs>
        <w:bidi w:val="0"/>
        <w:spacing w:before="0" w:after="220" w:line="240" w:lineRule="auto"/>
        <w:ind w:left="0" w:right="0" w:firstLine="560"/>
        <w:jc w:val="both"/>
      </w:pPr>
      <w:r>
        <w:rPr>
          <w:rStyle w:val="CharStyle5"/>
          <w:lang w:val="pt-BR" w:eastAsia="pt-BR" w:bidi="pt-BR"/>
        </w:rPr>
        <w:t>- as Disposições sobre Despesas com Pessoal;</w:t>
      </w:r>
    </w:p>
    <w:p>
      <w:pPr>
        <w:pStyle w:val="Style4"/>
        <w:keepNext w:val="0"/>
        <w:keepLines w:val="0"/>
        <w:widowControl w:val="0"/>
        <w:numPr>
          <w:ilvl w:val="0"/>
          <w:numId w:val="1"/>
        </w:numPr>
        <w:shd w:val="clear" w:color="auto" w:fill="auto"/>
        <w:tabs>
          <w:tab w:pos="983" w:val="left"/>
        </w:tabs>
        <w:bidi w:val="0"/>
        <w:spacing w:before="0" w:after="220" w:line="240" w:lineRule="auto"/>
        <w:ind w:left="0" w:right="0" w:firstLine="560"/>
        <w:jc w:val="both"/>
      </w:pPr>
      <w:r>
        <w:rPr>
          <w:rStyle w:val="CharStyle5"/>
          <w:lang w:val="pt-BR" w:eastAsia="pt-BR" w:bidi="pt-BR"/>
        </w:rPr>
        <w:t>- as Disposições sobre Alterações na Legislação Tributária; e</w:t>
      </w:r>
    </w:p>
    <w:p>
      <w:pPr>
        <w:pStyle w:val="Style2"/>
        <w:keepNext w:val="0"/>
        <w:keepLines w:val="0"/>
        <w:widowControl w:val="0"/>
        <w:shd w:val="clear" w:color="auto" w:fill="auto"/>
        <w:bidi w:val="0"/>
        <w:spacing w:before="0" w:after="760" w:line="240" w:lineRule="auto"/>
        <w:ind w:left="0" w:right="0"/>
        <w:jc w:val="both"/>
      </w:pPr>
      <w:r>
        <w:rPr>
          <w:rStyle w:val="CharStyle3"/>
          <w:b/>
          <w:bCs/>
          <w:lang w:val="pt-BR" w:eastAsia="pt-BR" w:bidi="pt-BR"/>
        </w:rPr>
        <w:t>v</w:t>
      </w:r>
      <w:r>
        <w:rPr>
          <w:rStyle w:val="CharStyle3"/>
          <w:b/>
          <w:bCs/>
          <w:i/>
          <w:iCs/>
          <w:lang w:val="pt-BR" w:eastAsia="pt-BR" w:bidi="pt-BR"/>
        </w:rPr>
        <w:t>n</w:t>
      </w:r>
      <w:r>
        <w:rPr>
          <w:rStyle w:val="CharStyle3"/>
          <w:b/>
          <w:bCs/>
          <w:lang w:val="pt-BR" w:eastAsia="pt-BR" w:bidi="pt-BR"/>
        </w:rPr>
        <w:t>ii r»;</w:t>
      </w:r>
    </w:p>
    <w:p>
      <w:pPr>
        <w:pStyle w:val="Style4"/>
        <w:keepNext w:val="0"/>
        <w:keepLines w:val="0"/>
        <w:widowControl w:val="0"/>
        <w:shd w:val="clear" w:color="auto" w:fill="auto"/>
        <w:bidi w:val="0"/>
        <w:spacing w:before="0" w:after="220" w:line="240" w:lineRule="auto"/>
        <w:ind w:left="0" w:right="0" w:firstLine="0"/>
        <w:jc w:val="center"/>
      </w:pPr>
      <w:r>
        <w:rPr>
          <w:rStyle w:val="CharStyle5"/>
          <w:lang w:val="pt-BR" w:eastAsia="pt-BR" w:bidi="pt-BR"/>
        </w:rPr>
        <w:t>CAPÍTULO I</w:t>
      </w:r>
    </w:p>
    <w:p>
      <w:pPr>
        <w:pStyle w:val="Style4"/>
        <w:keepNext w:val="0"/>
        <w:keepLines w:val="0"/>
        <w:widowControl w:val="0"/>
        <w:shd w:val="clear" w:color="auto" w:fill="auto"/>
        <w:bidi w:val="0"/>
        <w:spacing w:before="0" w:after="220" w:line="240" w:lineRule="auto"/>
        <w:ind w:left="0" w:right="0" w:firstLine="0"/>
        <w:jc w:val="center"/>
      </w:pPr>
      <w:r>
        <w:rPr>
          <w:rStyle w:val="CharStyle5"/>
          <w:lang w:val="pt-BR" w:eastAsia="pt-BR" w:bidi="pt-BR"/>
        </w:rPr>
        <w:t>DAS METAS FISCAIS</w:t>
      </w:r>
    </w:p>
    <w:p>
      <w:pPr>
        <w:pStyle w:val="Style4"/>
        <w:keepNext w:val="0"/>
        <w:keepLines w:val="0"/>
        <w:widowControl w:val="0"/>
        <w:shd w:val="clear" w:color="auto" w:fill="auto"/>
        <w:bidi w:val="0"/>
        <w:spacing w:before="0" w:line="350" w:lineRule="auto"/>
        <w:ind w:left="0" w:right="0" w:firstLine="560"/>
        <w:jc w:val="both"/>
      </w:pPr>
      <w:r>
        <w:rPr>
          <w:rStyle w:val="CharStyle5"/>
          <w:lang w:val="pt-BR" w:eastAsia="pt-BR" w:bidi="pt-BR"/>
        </w:rPr>
        <w:t>Art. 2</w:t>
      </w:r>
      <w:r>
        <w:rPr>
          <w:rStyle w:val="CharStyle5"/>
          <w:vertAlign w:val="superscript"/>
          <w:lang w:val="pt-BR" w:eastAsia="pt-BR" w:bidi="pt-BR"/>
        </w:rPr>
        <w:t>5</w:t>
      </w:r>
      <w:r>
        <w:rPr>
          <w:rStyle w:val="CharStyle5"/>
          <w:lang w:val="pt-BR" w:eastAsia="pt-BR" w:bidi="pt-BR"/>
        </w:rPr>
        <w:t xml:space="preserve"> Em cumprimento ao estabelecido no ar ligo 4= da Lei Complementar n</w:t>
      </w:r>
      <w:r>
        <w:rPr>
          <w:rStyle w:val="CharStyle5"/>
          <w:vertAlign w:val="superscript"/>
          <w:lang w:val="pt-BR" w:eastAsia="pt-BR" w:bidi="pt-BR"/>
        </w:rPr>
        <w:t>5</w:t>
      </w:r>
      <w:r>
        <w:rPr>
          <w:rStyle w:val="CharStyle5"/>
          <w:lang w:val="pt-BR" w:eastAsia="pt-BR" w:bidi="pt-BR"/>
        </w:rPr>
        <w:t xml:space="preserve"> 101, de 4 de maio de 2000, as metas fiscais de receitas, despesas, resultado primário, resultado nominal e montante da dívida pública para o exercício de 2027, estão identificadas nos Demonstrativos desta Lei, em conformidade com o Manual de Demonstrativos Fiscais - MDF, aprovado pela Portaria n</w:t>
      </w:r>
      <w:r>
        <w:rPr>
          <w:rStyle w:val="CharStyle5"/>
          <w:vertAlign w:val="superscript"/>
          <w:lang w:val="pt-BR" w:eastAsia="pt-BR" w:bidi="pt-BR"/>
        </w:rPr>
        <w:t>9</w:t>
      </w:r>
      <w:r>
        <w:rPr>
          <w:rStyle w:val="CharStyle5"/>
          <w:lang w:val="pt-BR" w:eastAsia="pt-BR" w:bidi="pt-BR"/>
        </w:rPr>
        <w:t xml:space="preserve"> 2.057, de 15 de setembro de 2025-STN</w:t>
      </w:r>
    </w:p>
    <w:p>
      <w:pPr>
        <w:pStyle w:val="Style4"/>
        <w:keepNext w:val="0"/>
        <w:keepLines w:val="0"/>
        <w:widowControl w:val="0"/>
        <w:shd w:val="clear" w:color="auto" w:fill="auto"/>
        <w:bidi w:val="0"/>
        <w:spacing w:before="0"/>
        <w:ind w:left="0" w:right="0" w:firstLine="560"/>
        <w:jc w:val="both"/>
      </w:pPr>
      <w:r>
        <w:rPr>
          <w:rStyle w:val="CharStyle5"/>
          <w:lang w:val="pt-BR" w:eastAsia="pt-BR" w:bidi="pt-BR"/>
        </w:rPr>
        <w:t>Art. 3</w:t>
      </w:r>
      <w:r>
        <w:rPr>
          <w:rStyle w:val="CharStyle5"/>
          <w:vertAlign w:val="superscript"/>
          <w:lang w:val="pt-BR" w:eastAsia="pt-BR" w:bidi="pt-BR"/>
        </w:rPr>
        <w:t>9</w:t>
      </w:r>
      <w:r>
        <w:rPr>
          <w:rStyle w:val="CharStyle5"/>
          <w:lang w:val="pt-BR" w:eastAsia="pt-BR" w:bidi="pt-BR"/>
        </w:rPr>
        <w:t xml:space="preserve"> A Lei Orçamentária Anual abrangerá as Entidades da Administração Direta e Fundos que recebem recursos do Orçamento Fiscal e da Seguridade Social.</w:t>
      </w:r>
    </w:p>
    <w:p>
      <w:pPr>
        <w:pStyle w:val="Style4"/>
        <w:keepNext w:val="0"/>
        <w:keepLines w:val="0"/>
        <w:widowControl w:val="0"/>
        <w:shd w:val="clear" w:color="auto" w:fill="auto"/>
        <w:bidi w:val="0"/>
        <w:spacing w:before="0" w:line="343" w:lineRule="auto"/>
        <w:ind w:left="0" w:right="0" w:firstLine="560"/>
        <w:jc w:val="both"/>
      </w:pPr>
      <w:r>
        <w:rPr>
          <w:rStyle w:val="CharStyle5"/>
          <w:lang w:val="pt-BR" w:eastAsia="pt-BR" w:bidi="pt-BR"/>
        </w:rPr>
        <w:t>Art. 4</w:t>
      </w:r>
      <w:r>
        <w:rPr>
          <w:rStyle w:val="CharStyle5"/>
          <w:vertAlign w:val="superscript"/>
          <w:lang w:val="pt-BR" w:eastAsia="pt-BR" w:bidi="pt-BR"/>
        </w:rPr>
        <w:t>?</w:t>
      </w:r>
      <w:r>
        <w:rPr>
          <w:rStyle w:val="CharStyle5"/>
          <w:lang w:val="pt-BR" w:eastAsia="pt-BR" w:bidi="pt-BR"/>
        </w:rPr>
        <w:t xml:space="preserve"> O Anexo de Riscos Fiscais, previsto no § 3</w:t>
      </w:r>
      <w:r>
        <w:rPr>
          <w:rStyle w:val="CharStyle5"/>
          <w:vertAlign w:val="superscript"/>
          <w:lang w:val="pt-BR" w:eastAsia="pt-BR" w:bidi="pt-BR"/>
        </w:rPr>
        <w:t>9</w:t>
      </w:r>
      <w:r>
        <w:rPr>
          <w:rStyle w:val="CharStyle5"/>
          <w:lang w:val="pt-BR" w:eastAsia="pt-BR" w:bidi="pt-BR"/>
        </w:rPr>
        <w:t xml:space="preserve"> do art. 4</w:t>
      </w:r>
      <w:r>
        <w:rPr>
          <w:rStyle w:val="CharStyle5"/>
          <w:vertAlign w:val="superscript"/>
          <w:lang w:val="pt-BR" w:eastAsia="pt-BR" w:bidi="pt-BR"/>
        </w:rPr>
        <w:t>9</w:t>
      </w:r>
      <w:r>
        <w:rPr>
          <w:rStyle w:val="CharStyle5"/>
          <w:lang w:val="pt-BR" w:eastAsia="pt-BR" w:bidi="pt-BR"/>
        </w:rPr>
        <w:t xml:space="preserve"> da </w:t>
      </w:r>
      <w:r>
        <w:rPr>
          <w:rStyle w:val="CharStyle5"/>
          <w:b/>
          <w:bCs/>
          <w:lang w:val="pt-BR" w:eastAsia="pt-BR" w:bidi="pt-BR"/>
        </w:rPr>
        <w:t>Lei Complementar n</w:t>
      </w:r>
      <w:r>
        <w:rPr>
          <w:rStyle w:val="CharStyle5"/>
          <w:b/>
          <w:bCs/>
          <w:vertAlign w:val="superscript"/>
          <w:lang w:val="pt-BR" w:eastAsia="pt-BR" w:bidi="pt-BR"/>
        </w:rPr>
        <w:t>9</w:t>
      </w:r>
      <w:r>
        <w:rPr>
          <w:rStyle w:val="CharStyle5"/>
          <w:b/>
          <w:bCs/>
          <w:lang w:val="pt-BR" w:eastAsia="pt-BR" w:bidi="pt-BR"/>
        </w:rPr>
        <w:t xml:space="preserve"> 101, de 4 de maio de 2000 (Lei de Responsabilidade Fiscal - LRF), </w:t>
      </w:r>
      <w:r>
        <w:rPr>
          <w:rStyle w:val="CharStyle5"/>
          <w:lang w:val="pt-BR" w:eastAsia="pt-BR" w:bidi="pt-BR"/>
        </w:rPr>
        <w:t>foi elaborado nos moldes do Manual de Demonstrativos Fiscais (MDF), aprovado pela Portaria 5TN n</w:t>
      </w:r>
      <w:r>
        <w:rPr>
          <w:rStyle w:val="CharStyle5"/>
          <w:vertAlign w:val="superscript"/>
          <w:lang w:val="pt-BR" w:eastAsia="pt-BR" w:bidi="pt-BR"/>
        </w:rPr>
        <w:t>9</w:t>
      </w:r>
      <w:r>
        <w:rPr>
          <w:rStyle w:val="CharStyle5"/>
          <w:lang w:val="pt-BR" w:eastAsia="pt-BR" w:bidi="pt-BR"/>
        </w:rPr>
        <w:t xml:space="preserve"> 2.057, de 15 de setembro de 2025.</w:t>
      </w:r>
    </w:p>
    <w:p>
      <w:pPr>
        <w:pStyle w:val="Style4"/>
        <w:keepNext w:val="0"/>
        <w:keepLines w:val="0"/>
        <w:widowControl w:val="0"/>
        <w:shd w:val="clear" w:color="auto" w:fill="auto"/>
        <w:bidi w:val="0"/>
        <w:spacing w:before="0" w:after="220"/>
        <w:ind w:left="0" w:right="0" w:firstLine="560"/>
        <w:jc w:val="both"/>
      </w:pPr>
      <w:r>
        <w:rPr>
          <w:rStyle w:val="CharStyle5"/>
          <w:lang w:val="pt-BR" w:eastAsia="pt-BR" w:bidi="pt-BR"/>
        </w:rPr>
        <w:t>Art. 5</w:t>
      </w:r>
      <w:r>
        <w:rPr>
          <w:rStyle w:val="CharStyle5"/>
          <w:vertAlign w:val="superscript"/>
          <w:lang w:val="pt-BR" w:eastAsia="pt-BR" w:bidi="pt-BR"/>
        </w:rPr>
        <w:t>5</w:t>
      </w:r>
      <w:r>
        <w:rPr>
          <w:rStyle w:val="CharStyle5"/>
          <w:lang w:val="pt-BR" w:eastAsia="pt-BR" w:bidi="pt-BR"/>
        </w:rPr>
        <w:t xml:space="preserve"> Os Anexos de Riscos Fiscais e Metas Fiscais referidos nos arts. 2</w:t>
      </w:r>
      <w:r>
        <w:rPr>
          <w:rStyle w:val="CharStyle5"/>
          <w:vertAlign w:val="superscript"/>
          <w:lang w:val="pt-BR" w:eastAsia="pt-BR" w:bidi="pt-BR"/>
        </w:rPr>
        <w:t>9</w:t>
      </w:r>
      <w:r>
        <w:rPr>
          <w:rStyle w:val="CharStyle5"/>
          <w:lang w:val="pt-BR" w:eastAsia="pt-BR" w:bidi="pt-BR"/>
        </w:rPr>
        <w:t xml:space="preserve"> e 3- desta Lei constituem- se dos seguintes:</w:t>
      </w:r>
      <w:r>
        <w:br w:type="page"/>
      </w:r>
    </w:p>
    <w:p>
      <w:pPr>
        <w:widowControl w:val="0"/>
        <w:spacing w:line="1" w:lineRule="exact"/>
      </w:pPr>
      <w:r>
        <w:drawing>
          <wp:anchor distT="0" distB="25400" distL="0" distR="0" simplePos="0" relativeHeight="125829378" behindDoc="0" locked="0" layoutInCell="1" allowOverlap="1">
            <wp:simplePos x="0" y="0"/>
            <wp:positionH relativeFrom="page">
              <wp:posOffset>3246755</wp:posOffset>
            </wp:positionH>
            <wp:positionV relativeFrom="paragraph">
              <wp:posOffset>0</wp:posOffset>
            </wp:positionV>
            <wp:extent cx="859790" cy="585470"/>
            <wp:wrapTopAndBottom/>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859790" cy="585470"/>
                    </a:xfrm>
                    <a:prstGeom prst="rect"/>
                  </pic:spPr>
                </pic:pic>
              </a:graphicData>
            </a:graphic>
          </wp:anchor>
        </w:drawing>
      </w:r>
    </w:p>
    <w:p>
      <w:pPr>
        <w:pStyle w:val="Style15"/>
        <w:keepNext w:val="0"/>
        <w:keepLines w:val="0"/>
        <w:widowControl w:val="0"/>
        <w:shd w:val="clear" w:color="auto" w:fill="auto"/>
        <w:bidi w:val="0"/>
        <w:spacing w:before="0" w:after="0" w:line="175" w:lineRule="auto"/>
        <w:ind w:left="0" w:right="0" w:firstLine="0"/>
        <w:jc w:val="center"/>
      </w:pPr>
      <w:r>
        <w:rPr>
          <w:rStyle w:val="CharStyle16"/>
          <w:b/>
          <w:bCs/>
        </w:rPr>
        <w:t>PREFEITURA MUNICIPAL DE CAREIRO DA VÁRZEA</w:t>
        <w:br/>
      </w:r>
      <w:r>
        <w:rPr>
          <w:rStyle w:val="CharStyle16"/>
          <w:b/>
          <w:bCs/>
          <w:smallCaps/>
          <w:sz w:val="16"/>
          <w:szCs w:val="16"/>
        </w:rPr>
        <w:t>a</w:t>
      </w:r>
      <w:r>
        <w:rPr>
          <w:rStyle w:val="CharStyle16"/>
          <w:b/>
          <w:bCs/>
        </w:rPr>
        <w:t xml:space="preserve"> nruTrTr nzi </w:t>
      </w:r>
      <w:r>
        <w:rPr>
          <w:rStyle w:val="CharStyle16"/>
          <w:b/>
          <w:bCs/>
          <w:lang w:val="pt-BR" w:eastAsia="pt-BR" w:bidi="pt-BR"/>
        </w:rPr>
        <w:t>nr»</w:t>
      </w:r>
      <w:r>
        <w:rPr>
          <w:rStyle w:val="CharStyle16"/>
          <w:b/>
          <w:bCs/>
        </w:rPr>
        <w:t>r?</w:t>
      </w:r>
    </w:p>
    <w:p>
      <w:pPr>
        <w:pStyle w:val="Style15"/>
        <w:keepNext w:val="0"/>
        <w:keepLines w:val="0"/>
        <w:widowControl w:val="0"/>
        <w:shd w:val="clear" w:color="auto" w:fill="auto"/>
        <w:tabs>
          <w:tab w:pos="1407" w:val="left"/>
        </w:tabs>
        <w:bidi w:val="0"/>
        <w:spacing w:before="0" w:after="300" w:line="180" w:lineRule="auto"/>
        <w:ind w:left="0" w:right="0" w:firstLine="0"/>
        <w:jc w:val="center"/>
      </w:pPr>
      <w:r>
        <w:rPr>
          <w:rStyle w:val="CharStyle16"/>
          <w:b/>
          <w:bCs/>
          <w:smallCaps/>
          <w:sz w:val="16"/>
          <w:szCs w:val="16"/>
        </w:rPr>
        <w:t>uAdiiil i</w:t>
      </w:r>
      <w:r>
        <w:rPr>
          <w:rStyle w:val="CharStyle16"/>
          <w:b/>
          <w:bCs/>
        </w:rPr>
        <w:t xml:space="preserve"> IL</w:t>
        <w:tab/>
        <w:t xml:space="preserve">rncr </w:t>
      </w:r>
      <w:r>
        <w:rPr>
          <w:rStyle w:val="CharStyle16"/>
          <w:b/>
          <w:bCs/>
          <w:smallCaps/>
          <w:sz w:val="16"/>
          <w:szCs w:val="16"/>
        </w:rPr>
        <w:t>ili</w:t>
      </w:r>
      <w:r>
        <w:rPr>
          <w:rStyle w:val="CharStyle16"/>
          <w:b/>
          <w:bCs/>
        </w:rPr>
        <w:t xml:space="preserve"> 1 w</w:t>
      </w:r>
    </w:p>
    <w:p>
      <w:pPr>
        <w:pStyle w:val="Style4"/>
        <w:keepNext w:val="0"/>
        <w:keepLines w:val="0"/>
        <w:widowControl w:val="0"/>
        <w:shd w:val="clear" w:color="auto" w:fill="auto"/>
        <w:bidi w:val="0"/>
        <w:spacing w:before="0" w:after="220" w:line="240" w:lineRule="auto"/>
        <w:ind w:left="0" w:right="0" w:firstLine="560"/>
        <w:jc w:val="both"/>
      </w:pPr>
      <w:r>
        <w:rPr>
          <w:rStyle w:val="CharStyle5"/>
          <w:lang w:val="pt-BR" w:eastAsia="pt-BR" w:bidi="pt-BR"/>
        </w:rPr>
        <w:t xml:space="preserve">I - </w:t>
      </w:r>
      <w:r>
        <w:rPr>
          <w:rStyle w:val="CharStyle5"/>
        </w:rPr>
        <w:t>VOLUME I: Anexo de Riscos Fiscais e Anexo de Metas Fiscais;</w:t>
      </w:r>
    </w:p>
    <w:p>
      <w:pPr>
        <w:pStyle w:val="Style4"/>
        <w:keepNext w:val="0"/>
        <w:keepLines w:val="0"/>
        <w:widowControl w:val="0"/>
        <w:shd w:val="clear" w:color="auto" w:fill="auto"/>
        <w:bidi w:val="0"/>
        <w:spacing w:before="0" w:after="220" w:line="240" w:lineRule="auto"/>
        <w:ind w:left="0" w:right="0" w:firstLine="560"/>
        <w:jc w:val="both"/>
      </w:pPr>
      <w:r>
        <w:rPr>
          <w:rStyle w:val="CharStyle5"/>
        </w:rPr>
        <w:t>II - ANEXO DE RISCOS FISCAIS: Demonstrativo de Riscos Fiscais e Providências; e</w:t>
      </w:r>
    </w:p>
    <w:p>
      <w:pPr>
        <w:pStyle w:val="Style2"/>
        <w:keepNext w:val="0"/>
        <w:keepLines w:val="0"/>
        <w:widowControl w:val="0"/>
        <w:shd w:val="clear" w:color="auto" w:fill="auto"/>
        <w:bidi w:val="0"/>
        <w:spacing w:before="0" w:after="0" w:line="240" w:lineRule="auto"/>
        <w:ind w:left="0" w:right="0"/>
        <w:jc w:val="both"/>
      </w:pPr>
      <w:r>
        <w:rPr>
          <w:rStyle w:val="CharStyle3"/>
          <w:b/>
          <w:bCs/>
        </w:rPr>
        <w:t xml:space="preserve">ui </w:t>
      </w:r>
      <w:r>
        <w:rPr>
          <w:rStyle w:val="CharStyle3"/>
          <w:b/>
          <w:bCs/>
          <w:smallCaps/>
        </w:rPr>
        <w:t>amevh</w:t>
      </w:r>
      <w:r>
        <w:rPr>
          <w:rStyle w:val="CharStyle3"/>
          <w:b/>
          <w:bCs/>
        </w:rPr>
        <w:t xml:space="preserve"> r&gt;r </w:t>
      </w:r>
      <w:r>
        <w:rPr>
          <w:rStyle w:val="CharStyle3"/>
          <w:b/>
          <w:bCs/>
          <w:smallCaps/>
        </w:rPr>
        <w:t>mctac</w:t>
      </w:r>
      <w:r>
        <w:rPr>
          <w:rStyle w:val="CharStyle3"/>
          <w:b/>
          <w:bCs/>
        </w:rPr>
        <w:t xml:space="preserve"> ricr*Aic.</w:t>
      </w:r>
    </w:p>
    <w:p>
      <w:pPr>
        <w:pStyle w:val="Style2"/>
        <w:keepNext w:val="0"/>
        <w:keepLines w:val="0"/>
        <w:widowControl w:val="0"/>
        <w:shd w:val="clear" w:color="auto" w:fill="auto"/>
        <w:bidi w:val="0"/>
        <w:spacing w:before="0" w:after="220" w:line="199" w:lineRule="auto"/>
        <w:ind w:left="0" w:right="0"/>
        <w:jc w:val="both"/>
      </w:pPr>
      <w:r>
        <w:rPr>
          <w:rStyle w:val="CharStyle3"/>
          <w:b/>
          <w:bCs/>
        </w:rPr>
        <w:t xml:space="preserve">III - </w:t>
      </w:r>
      <w:r>
        <w:rPr>
          <w:rStyle w:val="CharStyle3"/>
          <w:b/>
          <w:bCs/>
          <w:smallCaps/>
        </w:rPr>
        <w:t>/-m*u/\m</w:t>
      </w:r>
      <w:r>
        <w:rPr>
          <w:rStyle w:val="CharStyle3"/>
          <w:b/>
          <w:bCs/>
        </w:rPr>
        <w:t xml:space="preserve"> MU IVIU I HJ I UVHU.</w:t>
      </w:r>
    </w:p>
    <w:p>
      <w:pPr>
        <w:pStyle w:val="Style4"/>
        <w:keepNext w:val="0"/>
        <w:keepLines w:val="0"/>
        <w:widowControl w:val="0"/>
        <w:numPr>
          <w:ilvl w:val="0"/>
          <w:numId w:val="3"/>
        </w:numPr>
        <w:shd w:val="clear" w:color="auto" w:fill="auto"/>
        <w:tabs>
          <w:tab w:pos="900" w:val="left"/>
        </w:tabs>
        <w:bidi w:val="0"/>
        <w:spacing w:before="0" w:after="220" w:line="240" w:lineRule="auto"/>
        <w:ind w:left="0" w:right="0" w:firstLine="560"/>
        <w:jc w:val="both"/>
      </w:pPr>
      <w:r>
        <w:rPr>
          <w:rStyle w:val="CharStyle5"/>
        </w:rPr>
        <w:t>Demonstrativo I - Metas Anuais; e</w:t>
      </w:r>
    </w:p>
    <w:p>
      <w:pPr>
        <w:pStyle w:val="Style4"/>
        <w:keepNext w:val="0"/>
        <w:keepLines w:val="0"/>
        <w:widowControl w:val="0"/>
        <w:numPr>
          <w:ilvl w:val="0"/>
          <w:numId w:val="3"/>
        </w:numPr>
        <w:shd w:val="clear" w:color="auto" w:fill="auto"/>
        <w:tabs>
          <w:tab w:pos="900" w:val="left"/>
        </w:tabs>
        <w:bidi w:val="0"/>
        <w:spacing w:before="0" w:after="220" w:line="240" w:lineRule="auto"/>
        <w:ind w:left="0" w:right="0" w:firstLine="560"/>
        <w:jc w:val="both"/>
      </w:pPr>
      <w:r>
        <w:rPr>
          <w:rStyle w:val="CharStyle5"/>
        </w:rPr>
        <w:t>Demonstrativo II - Estimativa e Compensação da Renúncia de Receita.</w:t>
      </w:r>
    </w:p>
    <w:p>
      <w:pPr>
        <w:pStyle w:val="Style4"/>
        <w:keepNext w:val="0"/>
        <w:keepLines w:val="0"/>
        <w:widowControl w:val="0"/>
        <w:shd w:val="clear" w:color="auto" w:fill="auto"/>
        <w:bidi w:val="0"/>
        <w:spacing w:before="0" w:line="0" w:lineRule="atLeast"/>
        <w:ind w:left="7380" w:right="0" w:hanging="6800"/>
        <w:jc w:val="both"/>
      </w:pPr>
      <w:r>
        <w:rPr>
          <w:rStyle w:val="CharStyle5"/>
        </w:rPr>
        <w:t>Parágrafo único. Os Demonstrativos referidos neste artigo serão anuradns em cada Unidade 1 ‘</w:t>
      </w:r>
    </w:p>
    <w:p>
      <w:pPr>
        <w:pStyle w:val="Style4"/>
        <w:keepNext w:val="0"/>
        <w:keepLines w:val="0"/>
        <w:widowControl w:val="0"/>
        <w:shd w:val="clear" w:color="auto" w:fill="auto"/>
        <w:bidi w:val="0"/>
        <w:spacing w:before="0" w:after="680" w:line="0" w:lineRule="atLeast"/>
        <w:ind w:left="0" w:right="0" w:firstLine="0"/>
        <w:jc w:val="both"/>
      </w:pPr>
      <w:r>
        <w:rPr>
          <w:rStyle w:val="CharStyle5"/>
        </w:rPr>
        <w:t>Gestora e a sua consolidação constituirá as Metas Fiscais do Município.</w:t>
      </w:r>
    </w:p>
    <w:p>
      <w:pPr>
        <w:pStyle w:val="Style6"/>
        <w:keepNext/>
        <w:keepLines/>
        <w:widowControl w:val="0"/>
        <w:shd w:val="clear" w:color="auto" w:fill="auto"/>
        <w:bidi w:val="0"/>
        <w:spacing w:before="0" w:line="240" w:lineRule="auto"/>
        <w:ind w:left="0" w:right="0" w:firstLine="0"/>
        <w:jc w:val="center"/>
      </w:pPr>
      <w:bookmarkStart w:id="4" w:name="bookmark4"/>
      <w:r>
        <w:rPr>
          <w:rStyle w:val="CharStyle7"/>
          <w:b/>
          <w:bCs/>
        </w:rPr>
        <w:t>Seção I</w:t>
      </w:r>
      <w:bookmarkEnd w:id="4"/>
    </w:p>
    <w:p>
      <w:pPr>
        <w:pStyle w:val="Style6"/>
        <w:keepNext/>
        <w:keepLines/>
        <w:widowControl w:val="0"/>
        <w:shd w:val="clear" w:color="auto" w:fill="auto"/>
        <w:bidi w:val="0"/>
        <w:spacing w:before="0" w:after="100" w:line="240" w:lineRule="auto"/>
        <w:ind w:left="0" w:right="0" w:firstLine="0"/>
        <w:jc w:val="center"/>
      </w:pPr>
      <w:r>
        <w:rPr>
          <w:rStyle w:val="CharStyle7"/>
          <w:b/>
          <w:bCs/>
        </w:rPr>
        <w:t>Riscos Fiscais e Providências</w:t>
      </w:r>
    </w:p>
    <w:p>
      <w:pPr>
        <w:pStyle w:val="Style15"/>
        <w:keepNext w:val="0"/>
        <w:keepLines w:val="0"/>
        <w:widowControl w:val="0"/>
        <w:shd w:val="clear" w:color="auto" w:fill="auto"/>
        <w:tabs>
          <w:tab w:pos="4426" w:val="left"/>
          <w:tab w:pos="6133" w:val="left"/>
          <w:tab w:pos="7998" w:val="left"/>
        </w:tabs>
        <w:bidi w:val="0"/>
        <w:spacing w:before="0" w:after="0" w:line="240" w:lineRule="auto"/>
        <w:ind w:left="0" w:right="0" w:firstLine="560"/>
        <w:jc w:val="both"/>
      </w:pPr>
      <w:r>
        <w:rPr>
          <w:rStyle w:val="CharStyle16"/>
          <w:rFonts w:ascii="Arial" w:eastAsia="Arial" w:hAnsi="Arial" w:cs="Arial"/>
          <w:b/>
          <w:bCs/>
          <w:smallCaps/>
          <w:sz w:val="9"/>
          <w:szCs w:val="9"/>
        </w:rPr>
        <w:t xml:space="preserve">a-*- </w:t>
      </w:r>
      <w:r>
        <w:rPr>
          <w:rStyle w:val="CharStyle16"/>
          <w:rFonts w:ascii="Arial" w:eastAsia="Arial" w:hAnsi="Arial" w:cs="Arial"/>
          <w:b/>
          <w:bCs/>
          <w:i/>
          <w:iCs/>
          <w:sz w:val="9"/>
          <w:szCs w:val="9"/>
        </w:rPr>
        <w:t>co c^.</w:t>
        <w:tab/>
        <w:t>£ 00</w:t>
      </w:r>
      <w:r>
        <w:rPr>
          <w:rStyle w:val="CharStyle16"/>
          <w:b/>
          <w:bCs/>
        </w:rPr>
        <w:tab/>
      </w:r>
      <w:r>
        <w:rPr>
          <w:rStyle w:val="CharStyle16"/>
          <w:b/>
          <w:bCs/>
          <w:lang w:val="pt-BR" w:eastAsia="pt-BR" w:bidi="pt-BR"/>
        </w:rPr>
        <w:t>i</w:t>
        <w:tab/>
      </w:r>
      <w:r>
        <w:rPr>
          <w:rStyle w:val="CharStyle16"/>
          <w:b/>
          <w:bCs/>
        </w:rPr>
        <w:t>-o 1 ni 4</w:t>
      </w:r>
    </w:p>
    <w:p>
      <w:pPr>
        <w:pStyle w:val="Style2"/>
        <w:keepNext w:val="0"/>
        <w:keepLines w:val="0"/>
        <w:widowControl w:val="0"/>
        <w:shd w:val="clear" w:color="auto" w:fill="auto"/>
        <w:tabs>
          <w:tab w:pos="4153" w:val="left"/>
        </w:tabs>
        <w:bidi w:val="0"/>
        <w:spacing w:before="0" w:after="100" w:line="180" w:lineRule="auto"/>
        <w:ind w:left="0" w:right="0"/>
        <w:jc w:val="both"/>
      </w:pPr>
      <w:r>
        <w:rPr>
          <w:rStyle w:val="CharStyle3"/>
          <w:b/>
          <w:bCs/>
        </w:rPr>
        <w:t>/“II L. v- Llll LUIIipi niicniu UU</w:t>
        <w:tab/>
        <w:t xml:space="preserve">IIU 3 UO </w:t>
      </w:r>
      <w:r>
        <w:rPr>
          <w:rStyle w:val="CharStyle3"/>
          <w:b/>
          <w:bCs/>
          <w:lang w:val="pt-BR" w:eastAsia="pt-BR" w:bidi="pt-BR"/>
        </w:rPr>
        <w:t xml:space="preserve">OI </w:t>
      </w:r>
      <w:r>
        <w:rPr>
          <w:rStyle w:val="CharStyle3"/>
          <w:b/>
          <w:bCs/>
        </w:rPr>
        <w:t>L. MQ LCI VUIH piei I IUI I la I I»- XMX, MC MC IliaiV</w:t>
      </w:r>
    </w:p>
    <w:p>
      <w:pPr>
        <w:pStyle w:val="Style4"/>
        <w:keepNext w:val="0"/>
        <w:keepLines w:val="0"/>
        <w:widowControl w:val="0"/>
        <w:shd w:val="clear" w:color="auto" w:fill="auto"/>
        <w:bidi w:val="0"/>
        <w:spacing w:before="0" w:after="440"/>
        <w:ind w:left="0" w:right="0" w:firstLine="0"/>
        <w:jc w:val="both"/>
      </w:pPr>
      <w:r>
        <w:rPr>
          <w:rStyle w:val="CharStyle5"/>
          <w:b/>
          <w:bCs/>
        </w:rPr>
        <w:t xml:space="preserve">de 2000 (Lei de Responsabilidade Fiscal - LRF), </w:t>
      </w:r>
      <w:r>
        <w:rPr>
          <w:rStyle w:val="CharStyle5"/>
        </w:rPr>
        <w:t xml:space="preserve">a Lei de Diretrizes </w:t>
      </w:r>
      <w:r>
        <w:rPr>
          <w:rStyle w:val="CharStyle5"/>
          <w:lang w:val="pt-BR" w:eastAsia="pt-BR" w:bidi="pt-BR"/>
        </w:rPr>
        <w:t xml:space="preserve">Orçamentárias </w:t>
      </w:r>
      <w:r>
        <w:rPr>
          <w:rStyle w:val="CharStyle5"/>
        </w:rPr>
        <w:t>(LDO) conterá o Anexo de Riscos Fiscais e Providências.</w:t>
      </w:r>
    </w:p>
    <w:p>
      <w:pPr>
        <w:pStyle w:val="Style2"/>
        <w:keepNext w:val="0"/>
        <w:keepLines w:val="0"/>
        <w:widowControl w:val="0"/>
        <w:shd w:val="clear" w:color="auto" w:fill="auto"/>
        <w:bidi w:val="0"/>
        <w:spacing w:before="0" w:after="220" w:line="151" w:lineRule="auto"/>
        <w:ind w:left="0" w:right="0" w:firstLine="0"/>
        <w:jc w:val="center"/>
      </w:pPr>
      <w:r>
        <w:rPr>
          <w:rStyle w:val="CharStyle3"/>
          <w:b/>
          <w:bCs/>
        </w:rPr>
        <w:t>II</w:t>
        <w:br/>
        <w:t>«^vyuv i»</w:t>
      </w:r>
    </w:p>
    <w:p>
      <w:pPr>
        <w:pStyle w:val="Style4"/>
        <w:keepNext w:val="0"/>
        <w:keepLines w:val="0"/>
        <w:widowControl w:val="0"/>
        <w:shd w:val="clear" w:color="auto" w:fill="auto"/>
        <w:bidi w:val="0"/>
        <w:spacing w:before="0" w:after="220" w:line="240" w:lineRule="auto"/>
        <w:ind w:left="0" w:right="0" w:firstLine="0"/>
        <w:jc w:val="center"/>
      </w:pPr>
      <w:r>
        <w:rPr>
          <w:rStyle w:val="CharStyle5"/>
          <w:b/>
          <w:bCs/>
        </w:rPr>
        <w:t>Metas Anuais</w:t>
      </w:r>
    </w:p>
    <w:p>
      <w:pPr>
        <w:pStyle w:val="Style4"/>
        <w:keepNext w:val="0"/>
        <w:keepLines w:val="0"/>
        <w:widowControl w:val="0"/>
        <w:shd w:val="clear" w:color="auto" w:fill="auto"/>
        <w:bidi w:val="0"/>
        <w:spacing w:before="0" w:after="220"/>
        <w:ind w:left="0" w:right="0" w:firstLine="580"/>
        <w:jc w:val="both"/>
      </w:pPr>
      <w:r>
        <w:rPr>
          <w:rStyle w:val="CharStyle5"/>
        </w:rPr>
        <w:t>Art. 75 Em cumprimento ao disposto no § l</w:t>
      </w:r>
      <w:r>
        <w:rPr>
          <w:rStyle w:val="CharStyle5"/>
          <w:vertAlign w:val="superscript"/>
        </w:rPr>
        <w:t>9</w:t>
      </w:r>
      <w:r>
        <w:rPr>
          <w:rStyle w:val="CharStyle5"/>
        </w:rPr>
        <w:t xml:space="preserve"> do art. 4</w:t>
      </w:r>
      <w:r>
        <w:rPr>
          <w:rStyle w:val="CharStyle5"/>
          <w:vertAlign w:val="superscript"/>
        </w:rPr>
        <w:t>2</w:t>
      </w:r>
      <w:r>
        <w:rPr>
          <w:rStyle w:val="CharStyle5"/>
        </w:rPr>
        <w:t xml:space="preserve"> da </w:t>
      </w:r>
      <w:r>
        <w:rPr>
          <w:rStyle w:val="CharStyle5"/>
          <w:b/>
          <w:bCs/>
        </w:rPr>
        <w:t>Lei Complementar n</w:t>
      </w:r>
      <w:r>
        <w:rPr>
          <w:rStyle w:val="CharStyle5"/>
          <w:b/>
          <w:bCs/>
          <w:vertAlign w:val="superscript"/>
        </w:rPr>
        <w:t>9</w:t>
      </w:r>
      <w:r>
        <w:rPr>
          <w:rStyle w:val="CharStyle5"/>
          <w:b/>
          <w:bCs/>
        </w:rPr>
        <w:t xml:space="preserve"> 101, de 4 de maio de 2000, </w:t>
      </w:r>
      <w:r>
        <w:rPr>
          <w:rStyle w:val="CharStyle5"/>
        </w:rPr>
        <w:t xml:space="preserve">o Demonstrativo I - Metas Anuais será elaborado em valores </w:t>
      </w:r>
      <w:r>
        <w:rPr>
          <w:rStyle w:val="CharStyle5"/>
          <w:b/>
          <w:bCs/>
        </w:rPr>
        <w:t xml:space="preserve">correntes e constantes, </w:t>
      </w:r>
      <w:r>
        <w:rPr>
          <w:rStyle w:val="CharStyle5"/>
        </w:rPr>
        <w:t xml:space="preserve">relativos </w:t>
      </w:r>
      <w:r>
        <w:rPr>
          <w:rStyle w:val="CharStyle5"/>
          <w:lang w:val="pt-BR" w:eastAsia="pt-BR" w:bidi="pt-BR"/>
        </w:rPr>
        <w:t xml:space="preserve">às </w:t>
      </w:r>
      <w:r>
        <w:rPr>
          <w:rStyle w:val="CharStyle5"/>
          <w:b/>
          <w:bCs/>
        </w:rPr>
        <w:t xml:space="preserve">receitas, despesas, resultado primário, resultado nominal </w:t>
      </w:r>
      <w:r>
        <w:rPr>
          <w:rStyle w:val="CharStyle5"/>
        </w:rPr>
        <w:t xml:space="preserve">e </w:t>
      </w:r>
      <w:r>
        <w:rPr>
          <w:rStyle w:val="CharStyle5"/>
          <w:b/>
          <w:bCs/>
        </w:rPr>
        <w:t xml:space="preserve">montante da dívida pública, </w:t>
      </w:r>
      <w:r>
        <w:rPr>
          <w:rStyle w:val="CharStyle5"/>
        </w:rPr>
        <w:t xml:space="preserve">para o </w:t>
      </w:r>
      <w:r>
        <w:rPr>
          <w:rStyle w:val="CharStyle5"/>
        </w:rPr>
        <w:t>exercício de referência de 2027 e para os dois seguintes.</w:t>
      </w:r>
    </w:p>
    <w:p>
      <w:pPr>
        <w:pStyle w:val="Style4"/>
        <w:keepNext w:val="0"/>
        <w:keepLines w:val="0"/>
        <w:widowControl w:val="0"/>
        <w:shd w:val="clear" w:color="auto" w:fill="auto"/>
        <w:bidi w:val="0"/>
        <w:spacing w:before="0"/>
        <w:ind w:left="0" w:right="0" w:firstLine="580"/>
        <w:jc w:val="both"/>
      </w:pPr>
      <w:r>
        <w:rPr>
          <w:rStyle w:val="CharStyle5"/>
        </w:rPr>
        <w:t>§ l</w:t>
      </w:r>
      <w:r>
        <w:rPr>
          <w:rStyle w:val="CharStyle5"/>
          <w:vertAlign w:val="superscript"/>
        </w:rPr>
        <w:t>2</w:t>
      </w:r>
      <w:r>
        <w:rPr>
          <w:rStyle w:val="CharStyle5"/>
        </w:rPr>
        <w:t xml:space="preserve"> Os valores correntes dos exercícios de </w:t>
      </w:r>
      <w:r>
        <w:rPr>
          <w:rStyle w:val="CharStyle5"/>
          <w:b/>
          <w:bCs/>
        </w:rPr>
        <w:t xml:space="preserve">2027 </w:t>
      </w:r>
      <w:r>
        <w:rPr>
          <w:rStyle w:val="CharStyle5"/>
        </w:rPr>
        <w:t xml:space="preserve">e </w:t>
      </w:r>
      <w:r>
        <w:rPr>
          <w:rStyle w:val="CharStyle5"/>
          <w:b/>
          <w:bCs/>
        </w:rPr>
        <w:t xml:space="preserve">2028 </w:t>
      </w:r>
      <w:r>
        <w:rPr>
          <w:rStyle w:val="CharStyle5"/>
        </w:rPr>
        <w:t xml:space="preserve">deverão considerar a previsão de aumento ou redução das despesas de caráter continuado, resultantes da concessão de aumento salarial, do incremento de programas ou atividades incentivadas e da inclusão ou eliminação de programas, projetos ou atividades. Os valores constantes utilizarão como parâmetro o índice Oficial de Inflação Anual, dentre os sugeridos pela </w:t>
      </w:r>
      <w:r>
        <w:rPr>
          <w:rStyle w:val="CharStyle5"/>
          <w:b/>
          <w:bCs/>
        </w:rPr>
        <w:t>Portaria STN n</w:t>
      </w:r>
      <w:r>
        <w:rPr>
          <w:rStyle w:val="CharStyle5"/>
          <w:b/>
          <w:bCs/>
          <w:vertAlign w:val="superscript"/>
        </w:rPr>
        <w:t>2</w:t>
      </w:r>
      <w:r>
        <w:rPr>
          <w:rStyle w:val="CharStyle5"/>
          <w:b/>
          <w:bCs/>
        </w:rPr>
        <w:t xml:space="preserve"> 2.057, de 15 de setembro de 2025.</w:t>
      </w:r>
    </w:p>
    <w:p>
      <w:pPr>
        <w:pStyle w:val="Style4"/>
        <w:keepNext w:val="0"/>
        <w:keepLines w:val="0"/>
        <w:widowControl w:val="0"/>
        <w:shd w:val="clear" w:color="auto" w:fill="auto"/>
        <w:bidi w:val="0"/>
        <w:spacing w:before="0" w:after="580" w:line="346" w:lineRule="auto"/>
        <w:ind w:left="0" w:right="0" w:firstLine="580"/>
        <w:jc w:val="both"/>
      </w:pPr>
      <w:r>
        <w:rPr>
          <w:rStyle w:val="CharStyle5"/>
        </w:rPr>
        <w:t>§ 2</w:t>
      </w:r>
      <w:r>
        <w:rPr>
          <w:rStyle w:val="CharStyle5"/>
          <w:vertAlign w:val="superscript"/>
        </w:rPr>
        <w:t>2</w:t>
      </w:r>
      <w:r>
        <w:rPr>
          <w:rStyle w:val="CharStyle5"/>
        </w:rPr>
        <w:t xml:space="preserve"> Os valores da coluna "% </w:t>
      </w:r>
      <w:r>
        <w:rPr>
          <w:rStyle w:val="CharStyle5"/>
          <w:lang w:val="pt-BR" w:eastAsia="pt-BR" w:bidi="pt-BR"/>
        </w:rPr>
        <w:t xml:space="preserve">PIB" </w:t>
      </w:r>
      <w:r>
        <w:rPr>
          <w:rStyle w:val="CharStyle5"/>
        </w:rPr>
        <w:t xml:space="preserve">serão calculados mediante a aplicação dos valores correntes divididos pelo </w:t>
      </w:r>
      <w:r>
        <w:rPr>
          <w:rStyle w:val="CharStyle5"/>
          <w:lang w:val="pt-BR" w:eastAsia="pt-BR" w:bidi="pt-BR"/>
        </w:rPr>
        <w:t xml:space="preserve">PIB </w:t>
      </w:r>
      <w:r>
        <w:rPr>
          <w:rStyle w:val="CharStyle5"/>
        </w:rPr>
        <w:t>estadual, multiplicados por 100.</w:t>
      </w:r>
    </w:p>
    <w:p>
      <w:pPr>
        <w:pStyle w:val="Style6"/>
        <w:keepNext/>
        <w:keepLines/>
        <w:widowControl w:val="0"/>
        <w:shd w:val="clear" w:color="auto" w:fill="auto"/>
        <w:bidi w:val="0"/>
        <w:spacing w:before="0" w:line="240" w:lineRule="auto"/>
        <w:ind w:left="0" w:right="0" w:firstLine="0"/>
        <w:jc w:val="center"/>
      </w:pPr>
      <w:bookmarkStart w:id="7" w:name="bookmark7"/>
      <w:r>
        <w:rPr>
          <w:rStyle w:val="CharStyle7"/>
          <w:b/>
          <w:bCs/>
        </w:rPr>
        <w:t>Seção III</w:t>
      </w:r>
      <w:bookmarkEnd w:id="7"/>
    </w:p>
    <w:p>
      <w:pPr>
        <w:pStyle w:val="Style6"/>
        <w:keepNext/>
        <w:keepLines/>
        <w:widowControl w:val="0"/>
        <w:shd w:val="clear" w:color="auto" w:fill="auto"/>
        <w:bidi w:val="0"/>
        <w:spacing w:before="0" w:line="240" w:lineRule="auto"/>
        <w:ind w:left="0" w:right="0" w:firstLine="0"/>
        <w:jc w:val="center"/>
      </w:pPr>
      <w:r>
        <w:rPr>
          <w:rStyle w:val="CharStyle7"/>
          <w:b/>
          <w:bCs/>
        </w:rPr>
        <w:t>Avaliação do Cumprimento das Metas Fiscais do Exercício Anterior</w:t>
      </w:r>
    </w:p>
    <w:p>
      <w:pPr>
        <w:pStyle w:val="Style2"/>
        <w:keepNext w:val="0"/>
        <w:keepLines w:val="0"/>
        <w:widowControl w:val="0"/>
        <w:shd w:val="clear" w:color="auto" w:fill="auto"/>
        <w:tabs>
          <w:tab w:pos="4426" w:val="left"/>
          <w:tab w:pos="5524" w:val="left"/>
          <w:tab w:pos="7746" w:val="left"/>
          <w:tab w:pos="8833" w:val="left"/>
        </w:tabs>
        <w:bidi w:val="0"/>
        <w:spacing w:before="0" w:after="0" w:line="240" w:lineRule="auto"/>
        <w:ind w:left="0" w:right="0"/>
        <w:jc w:val="both"/>
      </w:pPr>
      <w:r>
        <mc:AlternateContent>
          <mc:Choice Requires="wps">
            <w:drawing>
              <wp:anchor distT="0" distB="0" distL="114300" distR="114300" simplePos="0" relativeHeight="125829379" behindDoc="0" locked="0" layoutInCell="1" allowOverlap="1">
                <wp:simplePos x="0" y="0"/>
                <wp:positionH relativeFrom="page">
                  <wp:posOffset>6689090</wp:posOffset>
                </wp:positionH>
                <wp:positionV relativeFrom="paragraph">
                  <wp:posOffset>50800</wp:posOffset>
                </wp:positionV>
                <wp:extent cx="297180" cy="82550"/>
                <wp:wrapSquare wrapText="left"/>
                <wp:docPr id="4" name="Shape 4"/>
                <a:graphic xmlns:a="http://schemas.openxmlformats.org/drawingml/2006/main">
                  <a:graphicData uri="http://schemas.microsoft.com/office/word/2010/wordprocessingShape">
                    <wps:wsp>
                      <wps:cNvSpPr txBox="1"/>
                      <wps:spPr>
                        <a:xfrm>
                          <a:ext cx="297180" cy="825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both"/>
                            </w:pPr>
                            <w:r>
                              <w:rPr>
                                <w:rStyle w:val="CharStyle3"/>
                                <w:b/>
                                <w:bCs/>
                              </w:rPr>
                              <w:t>MV “T</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526.70000000000005pt;margin-top:4.pt;width:23.400000000000002pt;height:6.5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both"/>
                      </w:pPr>
                      <w:r>
                        <w:rPr>
                          <w:rStyle w:val="CharStyle3"/>
                          <w:b/>
                          <w:bCs/>
                        </w:rPr>
                        <w:t>MV “T</w:t>
                      </w:r>
                    </w:p>
                  </w:txbxContent>
                </v:textbox>
                <w10:wrap type="square" side="left" anchorx="page"/>
              </v:shape>
            </w:pict>
          </mc:Fallback>
        </mc:AlternateContent>
      </w:r>
      <w:r>
        <w:rPr>
          <w:rStyle w:val="CharStyle3"/>
          <w:b/>
          <w:bCs/>
        </w:rPr>
        <w:t xml:space="preserve">A OO C rv* 4-•-» z-J • rvn r^4*z&gt; </w:t>
      </w:r>
      <w:r>
        <w:rPr>
          <w:rStyle w:val="CharStyle3"/>
          <w:b/>
          <w:bCs/>
          <w:smallCaps/>
        </w:rPr>
        <w:t>-a</w:t>
      </w:r>
      <w:r>
        <w:rPr>
          <w:rStyle w:val="CharStyle3"/>
          <w:b/>
          <w:bCs/>
        </w:rPr>
        <w:t xml:space="preserve"> z&gt;</w:t>
        <w:tab/>
        <w:t>£. DO í r*</w:t>
        <w:tab/>
        <w:t>I z4 o, »-4- AO z4 I</w:t>
        <w:tab/>
        <w:t>wl z</w:t>
      </w:r>
      <w:r>
        <w:rPr>
          <w:rStyle w:val="CharStyle3"/>
          <w:b/>
          <w:bCs/>
          <w:vertAlign w:val="superscript"/>
        </w:rPr>
        <w:t>1</w:t>
      </w:r>
      <w:r>
        <w:rPr>
          <w:rStyle w:val="CharStyle3"/>
          <w:b/>
          <w:bCs/>
        </w:rPr>
        <w:t xml:space="preserve">» </w:t>
      </w:r>
      <w:r>
        <w:rPr>
          <w:rStyle w:val="CharStyle3"/>
          <w:b/>
          <w:bCs/>
          <w:lang w:val="pt-BR" w:eastAsia="pt-BR" w:bidi="pt-BR"/>
        </w:rPr>
        <w:t xml:space="preserve">»*«zw </w:t>
      </w:r>
      <w:r>
        <w:rPr>
          <w:rStyle w:val="CharStyle3"/>
          <w:b/>
          <w:bCs/>
        </w:rPr>
        <w:t>,r%</w:t>
        <w:tab/>
      </w:r>
      <w:r>
        <w:rPr>
          <w:rStyle w:val="CharStyle3"/>
          <w:b/>
          <w:bCs/>
          <w:smallCaps/>
        </w:rPr>
        <w:t>m</w:t>
      </w:r>
      <w:r>
        <w:rPr>
          <w:rStyle w:val="CharStyle3"/>
          <w:b/>
          <w:bCs/>
        </w:rPr>
        <w:t xml:space="preserve"> O *1</w:t>
      </w:r>
    </w:p>
    <w:p>
      <w:pPr>
        <w:pStyle w:val="Style2"/>
        <w:keepNext w:val="0"/>
        <w:keepLines w:val="0"/>
        <w:widowControl w:val="0"/>
        <w:shd w:val="clear" w:color="auto" w:fill="auto"/>
        <w:tabs>
          <w:tab w:pos="4153" w:val="left"/>
          <w:tab w:pos="4930" w:val="left"/>
          <w:tab w:pos="5524" w:val="left"/>
        </w:tabs>
        <w:bidi w:val="0"/>
        <w:spacing w:before="0" w:after="140" w:line="182" w:lineRule="auto"/>
        <w:ind w:left="0" w:right="0"/>
        <w:jc w:val="both"/>
      </w:pPr>
      <w:r>
        <w:rPr>
          <w:rStyle w:val="CharStyle3"/>
          <w:b/>
          <w:bCs/>
        </w:rPr>
        <w:t xml:space="preserve">m L. UI I I QICI </w:t>
      </w:r>
      <w:r>
        <w:rPr>
          <w:rStyle w:val="CharStyle3"/>
          <w:b/>
          <w:bCs/>
          <w:lang w:val="pt-BR" w:eastAsia="pt-BR" w:bidi="pt-BR"/>
        </w:rPr>
        <w:t xml:space="preserve">iva </w:t>
      </w:r>
      <w:r>
        <w:rPr>
          <w:rStyle w:val="CharStyle3"/>
          <w:b/>
          <w:bCs/>
        </w:rPr>
        <w:t>11 • ICI liv QV</w:t>
        <w:tab/>
        <w:t>nu</w:t>
        <w:tab/>
        <w:t>II</w:t>
        <w:tab/>
        <w:t xml:space="preserve">I, MM </w:t>
      </w:r>
      <w:r>
        <w:rPr>
          <w:rStyle w:val="CharStyle3"/>
          <w:b/>
          <w:bCs/>
          <w:lang w:val="pt-BR" w:eastAsia="pt-BR" w:bidi="pt-BR"/>
        </w:rPr>
        <w:t xml:space="preserve">Q1 </w:t>
      </w:r>
      <w:r>
        <w:rPr>
          <w:rStyle w:val="CharStyle3"/>
          <w:b/>
          <w:bCs/>
        </w:rPr>
        <w:t>U» MCI i-Vt K.VI Hf/ICHICluai lt —</w:t>
      </w:r>
    </w:p>
    <w:p>
      <w:pPr>
        <w:pStyle w:val="Style4"/>
        <w:keepNext w:val="0"/>
        <w:keepLines w:val="0"/>
        <w:widowControl w:val="0"/>
        <w:shd w:val="clear" w:color="auto" w:fill="auto"/>
        <w:bidi w:val="0"/>
        <w:spacing w:before="0" w:after="220" w:line="350" w:lineRule="auto"/>
        <w:ind w:left="0" w:right="0" w:firstLine="0"/>
        <w:jc w:val="both"/>
      </w:pPr>
      <w:r>
        <w:drawing>
          <wp:anchor distT="0" distB="0" distL="114300" distR="114300" simplePos="0" relativeHeight="125829381" behindDoc="0" locked="0" layoutInCell="1" allowOverlap="1">
            <wp:simplePos x="0" y="0"/>
            <wp:positionH relativeFrom="page">
              <wp:posOffset>6584315</wp:posOffset>
            </wp:positionH>
            <wp:positionV relativeFrom="paragraph">
              <wp:posOffset>812800</wp:posOffset>
            </wp:positionV>
            <wp:extent cx="311150" cy="524510"/>
            <wp:wrapSquare wrapText="left"/>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311150" cy="524510"/>
                    </a:xfrm>
                    <a:prstGeom prst="rect"/>
                  </pic:spPr>
                </pic:pic>
              </a:graphicData>
            </a:graphic>
          </wp:anchor>
        </w:drawing>
      </w:r>
      <w:r>
        <w:rPr>
          <w:rStyle w:val="CharStyle5"/>
          <w:b/>
          <w:bCs/>
        </w:rPr>
        <w:t xml:space="preserve">de maio de 2000 (Lei de Responsabilidade Fiscal - LRF), </w:t>
      </w:r>
      <w:r>
        <w:rPr>
          <w:rStyle w:val="CharStyle5"/>
        </w:rPr>
        <w:t xml:space="preserve">o Demonstrativo II - Avaliação do Cumprimento das Metas Fiscais do Exercício Anterior tem por finalidade estabelecer um comparativo entre as metas fixadas e os resultados obtidos no exercício </w:t>
      </w:r>
      <w:r>
        <w:rPr>
          <w:rStyle w:val="CharStyle5"/>
          <w:lang w:val="pt-BR" w:eastAsia="pt-BR" w:bidi="pt-BR"/>
        </w:rPr>
        <w:t xml:space="preserve">orçamentário </w:t>
      </w:r>
      <w:r>
        <w:rPr>
          <w:rStyle w:val="CharStyle5"/>
        </w:rPr>
        <w:t xml:space="preserve">anterior, relativos </w:t>
      </w:r>
      <w:r>
        <w:rPr>
          <w:rStyle w:val="CharStyle5"/>
          <w:lang w:val="pt-BR" w:eastAsia="pt-BR" w:bidi="pt-BR"/>
        </w:rPr>
        <w:t xml:space="preserve">às </w:t>
      </w:r>
      <w:r>
        <w:rPr>
          <w:rStyle w:val="CharStyle5"/>
          <w:b/>
          <w:bCs/>
        </w:rPr>
        <w:t xml:space="preserve">receitas, despesas, resultado primário, resultado nominal, dívida pública consolidada e dívida consolidada líquida, </w:t>
      </w:r>
      <w:r>
        <w:rPr>
          <w:rStyle w:val="CharStyle5"/>
        </w:rPr>
        <w:t>incluindo a análise dos fatores determinantes do alcance ou não das metas estabelecidas.</w:t>
      </w:r>
      <w:r>
        <w:br w:type="page"/>
      </w:r>
    </w:p>
    <w:p>
      <w:pPr>
        <w:widowControl w:val="0"/>
        <w:spacing w:line="1" w:lineRule="exact"/>
      </w:pPr>
      <w:r>
        <w:drawing>
          <wp:anchor distT="0" distB="25400" distL="0" distR="0" simplePos="0" relativeHeight="125829382" behindDoc="0" locked="0" layoutInCell="1" allowOverlap="1">
            <wp:simplePos x="0" y="0"/>
            <wp:positionH relativeFrom="page">
              <wp:posOffset>3239770</wp:posOffset>
            </wp:positionH>
            <wp:positionV relativeFrom="paragraph">
              <wp:posOffset>0</wp:posOffset>
            </wp:positionV>
            <wp:extent cx="859790" cy="59118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859790" cy="591185"/>
                    </a:xfrm>
                    <a:prstGeom prst="rect"/>
                  </pic:spPr>
                </pic:pic>
              </a:graphicData>
            </a:graphic>
          </wp:anchor>
        </w:drawing>
      </w:r>
    </w:p>
    <w:p>
      <w:pPr>
        <w:pStyle w:val="Style6"/>
        <w:keepNext/>
        <w:keepLines/>
        <w:widowControl w:val="0"/>
        <w:shd w:val="clear" w:color="auto" w:fill="auto"/>
        <w:bidi w:val="0"/>
        <w:spacing w:before="0" w:after="0" w:line="240" w:lineRule="auto"/>
        <w:ind w:left="0" w:right="0" w:firstLine="0"/>
        <w:jc w:val="center"/>
        <w:rPr>
          <w:sz w:val="22"/>
          <w:szCs w:val="22"/>
        </w:rPr>
      </w:pPr>
      <w:bookmarkStart w:id="10" w:name="bookmark10"/>
      <w:r>
        <w:rPr>
          <w:rStyle w:val="CharStyle7"/>
          <w:rFonts w:ascii="Times New Roman" w:eastAsia="Times New Roman" w:hAnsi="Times New Roman" w:cs="Times New Roman"/>
          <w:b/>
          <w:bCs/>
          <w:sz w:val="22"/>
          <w:szCs w:val="22"/>
        </w:rPr>
        <w:t>PREFEITURA MUNICIPAL DE CAREIRO DA VÁRZEA</w:t>
      </w:r>
      <w:bookmarkEnd w:id="10"/>
    </w:p>
    <w:p>
      <w:pPr>
        <w:pStyle w:val="Style9"/>
        <w:keepNext w:val="0"/>
        <w:keepLines w:val="0"/>
        <w:widowControl w:val="0"/>
        <w:shd w:val="clear" w:color="auto" w:fill="auto"/>
        <w:bidi w:val="0"/>
        <w:spacing w:before="0"/>
        <w:ind w:left="0" w:right="0" w:firstLine="0"/>
        <w:jc w:val="center"/>
      </w:pPr>
      <w:r>
        <w:rPr>
          <w:rStyle w:val="CharStyle10"/>
          <w:b/>
          <w:bCs/>
        </w:rPr>
        <w:t>* nrwTrrrr nn r»i</w:t>
        <w:br/>
        <w:t>U/W1HL 1 IV UV f ÍVIVir.l 1 w</w:t>
      </w:r>
    </w:p>
    <w:p>
      <w:pPr>
        <w:pStyle w:val="Style4"/>
        <w:keepNext w:val="0"/>
        <w:keepLines w:val="0"/>
        <w:widowControl w:val="0"/>
        <w:shd w:val="clear" w:color="auto" w:fill="auto"/>
        <w:bidi w:val="0"/>
        <w:spacing w:before="0" w:after="560" w:line="360" w:lineRule="auto"/>
        <w:ind w:left="0" w:right="0" w:firstLine="580"/>
        <w:jc w:val="both"/>
      </w:pPr>
      <w:r>
        <w:rPr>
          <w:rStyle w:val="CharStyle5"/>
        </w:rPr>
        <w:t xml:space="preserve">Parágrafo único. A elaboração deste Demonstrativo pelos Municípios com população inferior a cinquenta mil habitantes </w:t>
      </w:r>
      <w:r>
        <w:rPr>
          <w:rStyle w:val="CharStyle5"/>
          <w:lang w:val="pt-BR" w:eastAsia="pt-BR" w:bidi="pt-BR"/>
        </w:rPr>
        <w:t xml:space="preserve">restringe-se </w:t>
      </w:r>
      <w:r>
        <w:rPr>
          <w:rStyle w:val="CharStyle5"/>
        </w:rPr>
        <w:t>àqueles que tenham elaborado metas fiscais em exercícios anteriores a 2005.</w:t>
      </w:r>
    </w:p>
    <w:p>
      <w:pPr>
        <w:pStyle w:val="Style6"/>
        <w:keepNext/>
        <w:keepLines/>
        <w:widowControl w:val="0"/>
        <w:shd w:val="clear" w:color="auto" w:fill="auto"/>
        <w:bidi w:val="0"/>
        <w:spacing w:before="0" w:line="240" w:lineRule="auto"/>
        <w:ind w:left="0" w:right="0" w:firstLine="0"/>
        <w:jc w:val="center"/>
      </w:pPr>
      <w:bookmarkStart w:id="12" w:name="bookmark12"/>
      <w:r>
        <w:rPr>
          <w:rStyle w:val="CharStyle7"/>
          <w:b/>
          <w:bCs/>
        </w:rPr>
        <w:t>Seção IV</w:t>
      </w:r>
      <w:bookmarkEnd w:id="12"/>
    </w:p>
    <w:p>
      <w:pPr>
        <w:pStyle w:val="Style6"/>
        <w:keepNext/>
        <w:keepLines/>
        <w:widowControl w:val="0"/>
        <w:shd w:val="clear" w:color="auto" w:fill="auto"/>
        <w:bidi w:val="0"/>
        <w:spacing w:before="0" w:line="240" w:lineRule="auto"/>
        <w:ind w:left="0" w:right="0" w:firstLine="0"/>
        <w:jc w:val="center"/>
      </w:pPr>
      <w:r>
        <w:rPr>
          <w:rStyle w:val="CharStyle7"/>
          <w:b/>
          <w:bCs/>
        </w:rPr>
        <w:t>Metas Fiscais Atuais Comparadas com as Fixadas nos Três Exercícios Anteriores</w:t>
      </w:r>
    </w:p>
    <w:p>
      <w:pPr>
        <w:pStyle w:val="Style2"/>
        <w:keepNext w:val="0"/>
        <w:keepLines w:val="0"/>
        <w:widowControl w:val="0"/>
        <w:shd w:val="clear" w:color="auto" w:fill="auto"/>
        <w:tabs>
          <w:tab w:pos="1055" w:val="left"/>
          <w:tab w:pos="1316" w:val="left"/>
          <w:tab w:pos="1725" w:val="left"/>
          <w:tab w:pos="3071" w:val="left"/>
          <w:tab w:pos="4196" w:val="left"/>
          <w:tab w:pos="5168" w:val="left"/>
          <w:tab w:pos="5852" w:val="left"/>
          <w:tab w:pos="6226" w:val="left"/>
          <w:tab w:pos="6564" w:val="left"/>
          <w:tab w:pos="7125" w:val="left"/>
          <w:tab w:pos="7881" w:val="left"/>
          <w:tab w:pos="8372" w:val="left"/>
          <w:tab w:pos="9015" w:val="left"/>
          <w:tab w:pos="9790" w:val="left"/>
        </w:tabs>
        <w:bidi w:val="0"/>
        <w:spacing w:before="0" w:after="0" w:line="240" w:lineRule="auto"/>
        <w:ind w:left="0" w:right="0" w:firstLine="580"/>
        <w:jc w:val="both"/>
      </w:pPr>
      <w:r>
        <w:rPr>
          <w:rStyle w:val="CharStyle3"/>
          <w:b/>
          <w:bCs/>
        </w:rPr>
        <w:t>A *-+•</w:t>
        <w:tab/>
        <w:t>HO</w:t>
        <w:tab/>
        <w:t xml:space="preserve">C </w:t>
      </w:r>
      <w:r>
        <w:rPr>
          <w:rStyle w:val="CharStyle3"/>
          <w:b/>
          <w:bCs/>
          <w:smallCaps/>
        </w:rPr>
        <w:t>zm.</w:t>
      </w:r>
      <w:r>
        <w:rPr>
          <w:rStyle w:val="CharStyle3"/>
          <w:b/>
          <w:bCs/>
        </w:rPr>
        <w:tab/>
        <w:t>4-z* z4 «</w:t>
        <w:tab/>
      </w:r>
      <w:r>
        <w:rPr>
          <w:rStyle w:val="CharStyle3"/>
          <w:b/>
          <w:bCs/>
          <w:i/>
          <w:iCs/>
        </w:rPr>
        <w:t>f</w:t>
      </w:r>
      <w:r>
        <w:rPr>
          <w:rStyle w:val="CharStyle3"/>
          <w:b/>
          <w:bCs/>
        </w:rPr>
        <w:tab/>
        <w:t>z&gt; £ nO '&lt;</w:t>
        <w:tab/>
        <w:t>z* í r» z&gt; II</w:t>
        <w:tab/>
        <w:t>zJ zs</w:t>
        <w:tab/>
        <w:t>•*+•</w:t>
        <w:tab/>
        <w:t>4 0 zJ</w:t>
        <w:tab/>
        <w:t>I zs ■</w:t>
        <w:tab/>
      </w:r>
      <w:r>
        <w:rPr>
          <w:rStyle w:val="CharStyle3"/>
          <w:b/>
          <w:bCs/>
          <w:smallCaps/>
        </w:rPr>
        <w:t>mI</w:t>
      </w:r>
      <w:r>
        <w:rPr>
          <w:rStyle w:val="CharStyle3"/>
          <w:b/>
          <w:bCs/>
        </w:rPr>
        <w:t xml:space="preserve"> z*</w:t>
        <w:tab/>
        <w:t>z*</w:t>
        <w:tab/>
        <w:t>n O A 04</w:t>
        <w:tab/>
        <w:t>z4 z&gt;</w:t>
      </w:r>
    </w:p>
    <w:p>
      <w:pPr>
        <w:pStyle w:val="Style2"/>
        <w:keepNext w:val="0"/>
        <w:keepLines w:val="0"/>
        <w:widowControl w:val="0"/>
        <w:shd w:val="clear" w:color="auto" w:fill="auto"/>
        <w:tabs>
          <w:tab w:pos="4196" w:val="left"/>
          <w:tab w:pos="4889" w:val="left"/>
        </w:tabs>
        <w:bidi w:val="0"/>
        <w:spacing w:before="0" w:after="100" w:line="180" w:lineRule="auto"/>
        <w:ind w:left="0" w:right="0" w:firstLine="580"/>
        <w:jc w:val="both"/>
      </w:pPr>
      <w:r>
        <w:rPr>
          <w:rStyle w:val="CharStyle3"/>
          <w:b/>
          <w:bCs/>
          <w:lang w:val="pt-BR" w:eastAsia="pt-BR" w:bidi="pt-BR"/>
        </w:rPr>
        <w:t xml:space="preserve">/"Al </w:t>
      </w:r>
      <w:r>
        <w:rPr>
          <w:rStyle w:val="CharStyle3"/>
          <w:b/>
          <w:bCs/>
        </w:rPr>
        <w:t xml:space="preserve">t. Llll a IC MMH I ICI I LU </w:t>
      </w:r>
      <w:r>
        <w:rPr>
          <w:rStyle w:val="CharStyle3"/>
          <w:b/>
          <w:bCs/>
          <w:i/>
          <w:iCs/>
        </w:rPr>
        <w:t>Q\J</w:t>
      </w:r>
      <w:r>
        <w:rPr>
          <w:rStyle w:val="CharStyle3"/>
          <w:b/>
          <w:bCs/>
        </w:rPr>
        <w:tab/>
        <w:t>MM</w:t>
        <w:tab/>
      </w:r>
      <w:r>
        <w:rPr>
          <w:rStyle w:val="CharStyle3"/>
          <w:b/>
          <w:bCs/>
          <w:i/>
          <w:iCs/>
        </w:rPr>
        <w:t>f</w:t>
      </w:r>
      <w:r>
        <w:rPr>
          <w:rStyle w:val="CharStyle3"/>
          <w:b/>
          <w:bCs/>
        </w:rPr>
        <w:t xml:space="preserve"> HILIOU II, MM </w:t>
      </w:r>
      <w:r>
        <w:rPr>
          <w:rStyle w:val="CharStyle3"/>
          <w:b/>
          <w:bCs/>
          <w:lang w:val="pt-BR" w:eastAsia="pt-BR" w:bidi="pt-BR"/>
        </w:rPr>
        <w:t xml:space="preserve">OI </w:t>
      </w:r>
      <w:r>
        <w:rPr>
          <w:rStyle w:val="CharStyle3"/>
          <w:b/>
          <w:bCs/>
        </w:rPr>
        <w:t>L. T “ MQ LCI VUII ipCI IICIIIC11 ■ l~ AUX/ MC</w:t>
      </w:r>
    </w:p>
    <w:p>
      <w:pPr>
        <w:pStyle w:val="Style4"/>
        <w:keepNext w:val="0"/>
        <w:keepLines w:val="0"/>
        <w:widowControl w:val="0"/>
        <w:shd w:val="clear" w:color="auto" w:fill="auto"/>
        <w:bidi w:val="0"/>
        <w:spacing w:before="0"/>
        <w:ind w:left="0" w:right="0" w:firstLine="0"/>
        <w:jc w:val="both"/>
      </w:pPr>
      <w:r>
        <w:rPr>
          <w:rStyle w:val="CharStyle5"/>
          <w:b/>
          <w:bCs/>
        </w:rPr>
        <w:t xml:space="preserve">4 de maio de 2000 (Lei de Responsabilidade Fiscal - LRF), </w:t>
      </w:r>
      <w:r>
        <w:rPr>
          <w:rStyle w:val="CharStyle5"/>
        </w:rPr>
        <w:t xml:space="preserve">o Demonstrativo III - Metas Fiscais Atuais Comparadas com as Fixadas nos Três Exercícios Anteriores, relativo </w:t>
      </w:r>
      <w:r>
        <w:rPr>
          <w:rStyle w:val="CharStyle5"/>
          <w:lang w:val="pt-BR" w:eastAsia="pt-BR" w:bidi="pt-BR"/>
        </w:rPr>
        <w:t xml:space="preserve">às </w:t>
      </w:r>
      <w:r>
        <w:rPr>
          <w:rStyle w:val="CharStyle5"/>
          <w:b/>
          <w:bCs/>
        </w:rPr>
        <w:t xml:space="preserve">receitas, despesas, resultado primário, resultado nominal, dívida pública consolidada e dívida consolidada líquida, </w:t>
      </w:r>
      <w:r>
        <w:rPr>
          <w:rStyle w:val="CharStyle5"/>
        </w:rPr>
        <w:t xml:space="preserve">deverá estar instruído com memória e metodologia de cálculo que justifiquem os resultados pretendidos, comparando-os com os fixados nos três exercícios anteriores e evidenciando sua consistência com as premissas e os objetivos da política </w:t>
      </w:r>
      <w:r>
        <w:rPr>
          <w:rStyle w:val="CharStyle5"/>
          <w:lang w:val="pt-BR" w:eastAsia="pt-BR" w:bidi="pt-BR"/>
        </w:rPr>
        <w:t xml:space="preserve">econômica </w:t>
      </w:r>
      <w:r>
        <w:rPr>
          <w:rStyle w:val="CharStyle5"/>
        </w:rPr>
        <w:t>nacional.</w:t>
      </w:r>
    </w:p>
    <w:p>
      <w:pPr>
        <w:pStyle w:val="Style4"/>
        <w:keepNext w:val="0"/>
        <w:keepLines w:val="0"/>
        <w:widowControl w:val="0"/>
        <w:shd w:val="clear" w:color="auto" w:fill="auto"/>
        <w:bidi w:val="0"/>
        <w:spacing w:before="0"/>
        <w:ind w:left="0" w:right="0" w:firstLine="580"/>
        <w:jc w:val="both"/>
      </w:pPr>
      <w:r>
        <w:rPr>
          <w:rStyle w:val="CharStyle5"/>
        </w:rPr>
        <w:t xml:space="preserve">§ 12 A elaboração deste Demonstrativo pelos Municípios com população inferior a cinquenta mil habitantes </w:t>
      </w:r>
      <w:r>
        <w:rPr>
          <w:rStyle w:val="CharStyle5"/>
          <w:lang w:val="pt-BR" w:eastAsia="pt-BR" w:bidi="pt-BR"/>
        </w:rPr>
        <w:t xml:space="preserve">restringe-se </w:t>
      </w:r>
      <w:r>
        <w:rPr>
          <w:rStyle w:val="CharStyle5"/>
        </w:rPr>
        <w:t>àqueles que tenham elaborado metas fiscais em exercícios anteriores a 2005.</w:t>
      </w:r>
    </w:p>
    <w:p>
      <w:pPr>
        <w:pStyle w:val="Style4"/>
        <w:keepNext w:val="0"/>
        <w:keepLines w:val="0"/>
        <w:widowControl w:val="0"/>
        <w:shd w:val="clear" w:color="auto" w:fill="auto"/>
        <w:bidi w:val="0"/>
        <w:spacing w:before="0" w:after="560" w:line="350" w:lineRule="auto"/>
        <w:ind w:left="0" w:right="0" w:firstLine="580"/>
        <w:jc w:val="both"/>
      </w:pPr>
      <w:r>
        <w:rPr>
          <w:rStyle w:val="CharStyle5"/>
        </w:rPr>
        <w:t>§ 2</w:t>
      </w:r>
      <w:r>
        <w:rPr>
          <w:rStyle w:val="CharStyle5"/>
          <w:vertAlign w:val="superscript"/>
        </w:rPr>
        <w:t>2</w:t>
      </w:r>
      <w:r>
        <w:rPr>
          <w:rStyle w:val="CharStyle5"/>
        </w:rPr>
        <w:t xml:space="preserve"> Objetivando conferir maior consistência e subsidiar as análises, os valores deverão ser demonstrados em valores correntes e constantes, </w:t>
      </w:r>
      <w:r>
        <w:rPr>
          <w:rStyle w:val="CharStyle5"/>
          <w:lang w:val="pt-BR" w:eastAsia="pt-BR" w:bidi="pt-BR"/>
        </w:rPr>
        <w:t xml:space="preserve">utilizando-se </w:t>
      </w:r>
      <w:r>
        <w:rPr>
          <w:rStyle w:val="CharStyle5"/>
        </w:rPr>
        <w:t>os mesmos índices mencionados no Demonstrativo I.</w:t>
      </w:r>
    </w:p>
    <w:p>
      <w:pPr>
        <w:pStyle w:val="Style6"/>
        <w:keepNext/>
        <w:keepLines/>
        <w:widowControl w:val="0"/>
        <w:shd w:val="clear" w:color="auto" w:fill="auto"/>
        <w:bidi w:val="0"/>
        <w:spacing w:before="0" w:line="240" w:lineRule="auto"/>
        <w:ind w:left="0" w:right="0" w:firstLine="0"/>
        <w:jc w:val="center"/>
      </w:pPr>
      <w:bookmarkStart w:id="15" w:name="bookmark15"/>
      <w:r>
        <w:rPr>
          <w:rStyle w:val="CharStyle7"/>
          <w:b/>
          <w:bCs/>
        </w:rPr>
        <w:t>Seção V</w:t>
      </w:r>
      <w:bookmarkEnd w:id="15"/>
    </w:p>
    <w:p>
      <w:pPr>
        <w:pStyle w:val="Style6"/>
        <w:keepNext/>
        <w:keepLines/>
        <w:widowControl w:val="0"/>
        <w:shd w:val="clear" w:color="auto" w:fill="auto"/>
        <w:bidi w:val="0"/>
        <w:spacing w:before="0" w:line="240" w:lineRule="auto"/>
        <w:ind w:left="0" w:right="0" w:firstLine="0"/>
        <w:jc w:val="center"/>
      </w:pPr>
      <w:r>
        <w:rPr>
          <w:rStyle w:val="CharStyle7"/>
          <w:b/>
          <w:bCs/>
        </w:rPr>
        <w:t xml:space="preserve">Evolução do </w:t>
      </w:r>
      <w:r>
        <w:rPr>
          <w:rStyle w:val="CharStyle7"/>
          <w:b/>
          <w:bCs/>
          <w:lang w:val="pt-BR" w:eastAsia="pt-BR" w:bidi="pt-BR"/>
        </w:rPr>
        <w:t xml:space="preserve">Patrimônio </w:t>
      </w:r>
      <w:r>
        <w:rPr>
          <w:rStyle w:val="CharStyle7"/>
          <w:b/>
          <w:bCs/>
        </w:rPr>
        <w:t>Líquido</w:t>
      </w:r>
    </w:p>
    <w:p>
      <w:pPr>
        <w:pStyle w:val="Style21"/>
        <w:keepNext w:val="0"/>
        <w:keepLines w:val="0"/>
        <w:widowControl w:val="0"/>
        <w:shd w:val="clear" w:color="auto" w:fill="auto"/>
        <w:tabs>
          <w:tab w:pos="1776" w:val="left"/>
          <w:tab w:pos="3375" w:val="left"/>
          <w:tab w:pos="4260" w:val="left"/>
          <w:tab w:pos="5916" w:val="left"/>
          <w:tab w:pos="7234" w:val="left"/>
          <w:tab w:pos="7544" w:val="left"/>
          <w:tab w:pos="9113" w:val="left"/>
        </w:tabs>
        <w:bidi w:val="0"/>
        <w:spacing w:before="0" w:after="0" w:line="240" w:lineRule="auto"/>
        <w:ind w:left="0" w:right="0" w:firstLine="580"/>
        <w:jc w:val="both"/>
        <w:rPr>
          <w:sz w:val="8"/>
          <w:szCs w:val="8"/>
        </w:rPr>
      </w:pPr>
      <w:r>
        <w:rPr>
          <w:rStyle w:val="CharStyle22"/>
          <w:b/>
          <w:bCs/>
          <w:sz w:val="8"/>
          <w:szCs w:val="8"/>
        </w:rPr>
        <w:t>Art W Cm</w:t>
        <w:tab/>
        <w:t>^tanrlimantn on</w:t>
        <w:tab/>
        <w:t>Hicnnctn</w:t>
        <w:tab/>
        <w:t>nn S ")O inrier»lll</w:t>
        <w:tab/>
        <w:t>rlr»ar+ /IQ rln</w:t>
        <w:tab/>
        <w:t>I ai</w:t>
        <w:tab/>
        <w:t>fAmnlomnntar</w:t>
        <w:tab/>
        <w:t>r»Q 1 Hl Ha</w:t>
      </w:r>
    </w:p>
    <w:p>
      <w:pPr>
        <w:pStyle w:val="Style21"/>
        <w:keepNext w:val="0"/>
        <w:keepLines w:val="0"/>
        <w:widowControl w:val="0"/>
        <w:shd w:val="clear" w:color="auto" w:fill="auto"/>
        <w:tabs>
          <w:tab w:pos="2409" w:val="left"/>
          <w:tab w:pos="3411" w:val="left"/>
          <w:tab w:pos="4289" w:val="left"/>
          <w:tab w:pos="4889" w:val="left"/>
          <w:tab w:pos="5829" w:val="left"/>
          <w:tab w:pos="7263" w:val="left"/>
          <w:tab w:pos="7572" w:val="left"/>
          <w:tab w:pos="8105" w:val="left"/>
          <w:tab w:pos="9350" w:val="left"/>
        </w:tabs>
        <w:bidi w:val="0"/>
        <w:spacing w:before="0" w:line="180" w:lineRule="auto"/>
        <w:ind w:left="0" w:right="0" w:firstLine="580"/>
        <w:jc w:val="both"/>
        <w:rPr>
          <w:sz w:val="8"/>
          <w:szCs w:val="8"/>
        </w:rPr>
      </w:pPr>
      <w:r>
        <w:rPr>
          <w:rStyle w:val="CharStyle22"/>
          <w:b/>
          <w:bCs/>
          <w:sz w:val="8"/>
          <w:szCs w:val="8"/>
        </w:rPr>
        <w:t>• «« tovz • UM»</w:t>
        <w:tab/>
        <w:t>MUMfcV M V</w:t>
        <w:tab/>
        <w:t>V« » «Z f&gt;Z VZ w» V XZ</w:t>
        <w:tab/>
        <w:t>• • VZ J</w:t>
        <w:tab/>
        <w:t>; IIIVIvlV'</w:t>
        <w:tab/>
        <w:t>U4 M Ml • MM</w:t>
        <w:tab/>
        <w:t>to M •</w:t>
        <w:tab/>
        <w:t>W • i ■</w:t>
        <w:tab/>
        <w:t>■ VI I • V • •</w:t>
        <w:tab/>
        <w:t>to W to , MM</w:t>
      </w:r>
    </w:p>
    <w:p>
      <w:pPr>
        <w:pStyle w:val="Style4"/>
        <w:keepNext w:val="0"/>
        <w:keepLines w:val="0"/>
        <w:widowControl w:val="0"/>
        <w:shd w:val="clear" w:color="auto" w:fill="auto"/>
        <w:bidi w:val="0"/>
        <w:spacing w:before="0" w:line="360" w:lineRule="auto"/>
        <w:ind w:left="0" w:right="0" w:firstLine="0"/>
        <w:jc w:val="both"/>
      </w:pPr>
      <w:r>
        <w:rPr>
          <w:rStyle w:val="CharStyle5"/>
          <w:b/>
          <w:bCs/>
        </w:rPr>
        <w:t xml:space="preserve">4 de maio de 2000 (Lei de Responsabilidade Fiscal - LRF), </w:t>
      </w:r>
      <w:r>
        <w:rPr>
          <w:rStyle w:val="CharStyle5"/>
        </w:rPr>
        <w:t xml:space="preserve">o Demonstrativo IV - Evolução do </w:t>
      </w:r>
      <w:r>
        <w:rPr>
          <w:rStyle w:val="CharStyle5"/>
          <w:lang w:val="pt-BR" w:eastAsia="pt-BR" w:bidi="pt-BR"/>
        </w:rPr>
        <w:t xml:space="preserve">Patrimônio </w:t>
      </w:r>
      <w:r>
        <w:rPr>
          <w:rStyle w:val="CharStyle5"/>
        </w:rPr>
        <w:t xml:space="preserve">Líquido deverá evidenciar as variações do </w:t>
      </w:r>
      <w:r>
        <w:rPr>
          <w:rStyle w:val="CharStyle5"/>
          <w:lang w:val="pt-BR" w:eastAsia="pt-BR" w:bidi="pt-BR"/>
        </w:rPr>
        <w:t xml:space="preserve">patrimônio </w:t>
      </w:r>
      <w:r>
        <w:rPr>
          <w:rStyle w:val="CharStyle5"/>
        </w:rPr>
        <w:t>líquido de cada ente do Município e sua consolidação.</w:t>
      </w:r>
    </w:p>
    <w:p>
      <w:pPr>
        <w:pStyle w:val="Style4"/>
        <w:keepNext w:val="0"/>
        <w:keepLines w:val="0"/>
        <w:widowControl w:val="0"/>
        <w:shd w:val="clear" w:color="auto" w:fill="auto"/>
        <w:bidi w:val="0"/>
        <w:spacing w:before="0" w:after="560" w:line="360" w:lineRule="auto"/>
        <w:ind w:left="0" w:right="0" w:firstLine="580"/>
        <w:jc w:val="both"/>
      </w:pPr>
      <w:r>
        <w:rPr>
          <w:rStyle w:val="CharStyle5"/>
        </w:rPr>
        <w:t xml:space="preserve">Parágrafo único. O Demonstrativo apresentará, em separado, a situação do </w:t>
      </w:r>
      <w:r>
        <w:rPr>
          <w:rStyle w:val="CharStyle5"/>
          <w:lang w:val="pt-BR" w:eastAsia="pt-BR" w:bidi="pt-BR"/>
        </w:rPr>
        <w:t xml:space="preserve">patrimônio </w:t>
      </w:r>
      <w:r>
        <w:rPr>
          <w:rStyle w:val="CharStyle5"/>
        </w:rPr>
        <w:t>líquido do regime previdenciário.</w:t>
      </w:r>
    </w:p>
    <w:p>
      <w:pPr>
        <w:pStyle w:val="Style6"/>
        <w:keepNext/>
        <w:keepLines/>
        <w:widowControl w:val="0"/>
        <w:shd w:val="clear" w:color="auto" w:fill="auto"/>
        <w:bidi w:val="0"/>
        <w:spacing w:before="0" w:line="240" w:lineRule="auto"/>
        <w:ind w:left="0" w:right="0" w:firstLine="0"/>
        <w:jc w:val="center"/>
      </w:pPr>
      <w:bookmarkStart w:id="18" w:name="bookmark18"/>
      <w:r>
        <w:rPr>
          <w:rStyle w:val="CharStyle7"/>
          <w:b/>
          <w:bCs/>
        </w:rPr>
        <w:t>Seção VI</w:t>
      </w:r>
      <w:bookmarkEnd w:id="18"/>
    </w:p>
    <w:p>
      <w:pPr>
        <w:pStyle w:val="Style6"/>
        <w:keepNext/>
        <w:keepLines/>
        <w:widowControl w:val="0"/>
        <w:shd w:val="clear" w:color="auto" w:fill="auto"/>
        <w:bidi w:val="0"/>
        <w:spacing w:before="0" w:line="240" w:lineRule="auto"/>
        <w:ind w:left="0" w:right="0" w:firstLine="0"/>
        <w:jc w:val="center"/>
      </w:pPr>
      <w:r>
        <w:rPr>
          <w:rStyle w:val="CharStyle7"/>
          <w:b/>
          <w:bCs/>
        </w:rPr>
        <w:t>Origem e Aplicação dos Recursos Obtidos com a Alienação de Ativos</w:t>
      </w:r>
    </w:p>
    <w:p>
      <w:pPr>
        <w:pStyle w:val="Style4"/>
        <w:keepNext w:val="0"/>
        <w:keepLines w:val="0"/>
        <w:widowControl w:val="0"/>
        <w:shd w:val="clear" w:color="auto" w:fill="auto"/>
        <w:bidi w:val="0"/>
        <w:spacing w:before="0" w:after="220"/>
        <w:ind w:left="0" w:right="0" w:firstLine="580"/>
        <w:jc w:val="both"/>
      </w:pPr>
      <w:r>
        <w:drawing>
          <wp:anchor distT="0" distB="0" distL="114300" distR="114300" simplePos="0" relativeHeight="125829383" behindDoc="0" locked="0" layoutInCell="1" allowOverlap="1">
            <wp:simplePos x="0" y="0"/>
            <wp:positionH relativeFrom="page">
              <wp:posOffset>6536055</wp:posOffset>
            </wp:positionH>
            <wp:positionV relativeFrom="paragraph">
              <wp:posOffset>889000</wp:posOffset>
            </wp:positionV>
            <wp:extent cx="341630" cy="628015"/>
            <wp:wrapSquare wrapText="left"/>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341630" cy="628015"/>
                    </a:xfrm>
                    <a:prstGeom prst="rect"/>
                  </pic:spPr>
                </pic:pic>
              </a:graphicData>
            </a:graphic>
          </wp:anchor>
        </w:drawing>
      </w:r>
      <w:r>
        <w:rPr>
          <w:rStyle w:val="CharStyle5"/>
        </w:rPr>
        <w:t xml:space="preserve">Art. 11. O § 22, inciso III, do art. 42 da Lei Complementar n.2 101, de 4 de maio de 2000 (Lei de Responsabilidade Fiscal - LRF), que trata da evolução do </w:t>
      </w:r>
      <w:r>
        <w:rPr>
          <w:rStyle w:val="CharStyle5"/>
          <w:lang w:val="pt-BR" w:eastAsia="pt-BR" w:bidi="pt-BR"/>
        </w:rPr>
        <w:t xml:space="preserve">patrimônio </w:t>
      </w:r>
      <w:r>
        <w:rPr>
          <w:rStyle w:val="CharStyle5"/>
        </w:rPr>
        <w:t xml:space="preserve">líquido, estabelece também que os recursos obtidos com a alienação de ativos que integram o referido </w:t>
      </w:r>
      <w:r>
        <w:rPr>
          <w:rStyle w:val="CharStyle5"/>
          <w:lang w:val="pt-BR" w:eastAsia="pt-BR" w:bidi="pt-BR"/>
        </w:rPr>
        <w:t xml:space="preserve">patrimônio </w:t>
      </w:r>
      <w:r>
        <w:rPr>
          <w:rStyle w:val="CharStyle5"/>
        </w:rPr>
        <w:t>devem ser reaplicados em despesas de capital, salvo se destinados por lei aos regimes de previdência social, geral ou próprio dos servidores públicos.</w:t>
      </w:r>
      <w:r>
        <w:br w:type="page"/>
      </w:r>
    </w:p>
    <w:p>
      <w:pPr>
        <w:widowControl w:val="0"/>
        <w:spacing w:line="1" w:lineRule="exact"/>
      </w:pPr>
      <w:r>
        <w:drawing>
          <wp:anchor distT="0" distB="25400" distL="0" distR="0" simplePos="0" relativeHeight="125829384" behindDoc="0" locked="0" layoutInCell="1" allowOverlap="1">
            <wp:simplePos x="0" y="0"/>
            <wp:positionH relativeFrom="page">
              <wp:posOffset>3246755</wp:posOffset>
            </wp:positionH>
            <wp:positionV relativeFrom="paragraph">
              <wp:posOffset>0</wp:posOffset>
            </wp:positionV>
            <wp:extent cx="859790" cy="59118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5"/>
                    <a:stretch/>
                  </pic:blipFill>
                  <pic:spPr>
                    <a:xfrm>
                      <a:ext cx="859790" cy="591185"/>
                    </a:xfrm>
                    <a:prstGeom prst="rect"/>
                  </pic:spPr>
                </pic:pic>
              </a:graphicData>
            </a:graphic>
          </wp:anchor>
        </w:drawing>
      </w:r>
    </w:p>
    <w:p>
      <w:pPr>
        <w:pStyle w:val="Style6"/>
        <w:keepNext/>
        <w:keepLines/>
        <w:widowControl w:val="0"/>
        <w:shd w:val="clear" w:color="auto" w:fill="auto"/>
        <w:bidi w:val="0"/>
        <w:spacing w:before="0" w:after="0" w:line="240" w:lineRule="auto"/>
        <w:ind w:left="0" w:right="0" w:firstLine="0"/>
        <w:jc w:val="center"/>
        <w:rPr>
          <w:sz w:val="22"/>
          <w:szCs w:val="22"/>
        </w:rPr>
      </w:pPr>
      <w:bookmarkStart w:id="21" w:name="bookmark21"/>
      <w:r>
        <w:rPr>
          <w:rStyle w:val="CharStyle7"/>
          <w:rFonts w:ascii="Times New Roman" w:eastAsia="Times New Roman" w:hAnsi="Times New Roman" w:cs="Times New Roman"/>
          <w:b/>
          <w:bCs/>
          <w:sz w:val="22"/>
          <w:szCs w:val="22"/>
        </w:rPr>
        <w:t>PREFEITURA MUNICIPAL DE CAREIRO DA VÁRZEA</w:t>
      </w:r>
      <w:bookmarkEnd w:id="21"/>
    </w:p>
    <w:p>
      <w:pPr>
        <w:pStyle w:val="Style9"/>
        <w:keepNext w:val="0"/>
        <w:keepLines w:val="0"/>
        <w:widowControl w:val="0"/>
        <w:shd w:val="clear" w:color="auto" w:fill="auto"/>
        <w:tabs>
          <w:tab w:pos="1444" w:val="left"/>
        </w:tabs>
        <w:bidi w:val="0"/>
        <w:spacing w:before="0" w:after="0"/>
        <w:ind w:left="0" w:right="0" w:firstLine="0"/>
        <w:jc w:val="center"/>
      </w:pPr>
      <w:r>
        <w:rPr>
          <w:rStyle w:val="CharStyle10"/>
          <w:b/>
          <w:bCs/>
          <w:smallCaps/>
          <w:sz w:val="16"/>
          <w:szCs w:val="16"/>
        </w:rPr>
        <w:t>a</w:t>
      </w:r>
      <w:r>
        <w:rPr>
          <w:rStyle w:val="CharStyle10"/>
          <w:b/>
          <w:bCs/>
        </w:rPr>
        <w:t xml:space="preserve"> nixTr</w:t>
      </w:r>
      <w:r>
        <w:rPr>
          <w:rStyle w:val="CharStyle10"/>
          <w:b/>
          <w:bCs/>
          <w:vertAlign w:val="superscript"/>
        </w:rPr>
        <w:t>,</w:t>
      </w:r>
      <w:r>
        <w:rPr>
          <w:rStyle w:val="CharStyle10"/>
          <w:b/>
          <w:bCs/>
        </w:rPr>
        <w:t>nrv’</w:t>
        <w:tab/>
        <w:t>nni^rrrrrrA</w:t>
      </w:r>
    </w:p>
    <w:p>
      <w:pPr>
        <w:pStyle w:val="Style21"/>
        <w:keepNext w:val="0"/>
        <w:keepLines w:val="0"/>
        <w:widowControl w:val="0"/>
        <w:shd w:val="clear" w:color="auto" w:fill="auto"/>
        <w:tabs>
          <w:tab w:pos="1444" w:val="left"/>
        </w:tabs>
        <w:bidi w:val="0"/>
        <w:spacing w:before="0" w:after="300" w:line="180" w:lineRule="auto"/>
        <w:ind w:left="0" w:right="0" w:firstLine="0"/>
        <w:jc w:val="center"/>
        <w:rPr>
          <w:sz w:val="13"/>
          <w:szCs w:val="13"/>
        </w:rPr>
      </w:pPr>
      <w:r>
        <w:rPr>
          <w:rStyle w:val="CharStyle22"/>
          <w:rFonts w:ascii="Times New Roman" w:eastAsia="Times New Roman" w:hAnsi="Times New Roman" w:cs="Times New Roman"/>
          <w:b/>
          <w:bCs/>
          <w:sz w:val="13"/>
          <w:szCs w:val="13"/>
        </w:rPr>
        <w:t>UADtl'lÍL 1 1L</w:t>
        <w:tab/>
        <w:t>r IVE.r LlttJ</w:t>
      </w:r>
    </w:p>
    <w:p>
      <w:pPr>
        <w:pStyle w:val="Style4"/>
        <w:keepNext w:val="0"/>
        <w:keepLines w:val="0"/>
        <w:widowControl w:val="0"/>
        <w:shd w:val="clear" w:color="auto" w:fill="auto"/>
        <w:bidi w:val="0"/>
        <w:spacing w:before="0" w:after="560"/>
        <w:ind w:left="0" w:right="0" w:firstLine="580"/>
        <w:jc w:val="both"/>
      </w:pPr>
      <w:r>
        <w:rPr>
          <w:rStyle w:val="CharStyle5"/>
        </w:rPr>
        <w:t xml:space="preserve">Parágrafo único. O Demonstrativo V - Origem e Aplicação dos Recursos Obtidos com a Alienação de Ativos evidenciará a origem dos recursos obtidos com a alienação de ativos e a sua </w:t>
      </w:r>
      <w:r>
        <w:rPr>
          <w:rStyle w:val="CharStyle5"/>
          <w:lang w:val="pt-BR" w:eastAsia="pt-BR" w:bidi="pt-BR"/>
        </w:rPr>
        <w:t xml:space="preserve">respectiva </w:t>
      </w:r>
      <w:r>
        <w:rPr>
          <w:rStyle w:val="CharStyle5"/>
        </w:rPr>
        <w:t>aplicação.</w:t>
      </w:r>
    </w:p>
    <w:p>
      <w:pPr>
        <w:pStyle w:val="Style6"/>
        <w:keepNext/>
        <w:keepLines/>
        <w:widowControl w:val="0"/>
        <w:shd w:val="clear" w:color="auto" w:fill="auto"/>
        <w:bidi w:val="0"/>
        <w:spacing w:before="0" w:line="240" w:lineRule="auto"/>
        <w:ind w:left="0" w:right="0" w:firstLine="0"/>
        <w:jc w:val="center"/>
      </w:pPr>
      <w:bookmarkStart w:id="23" w:name="bookmark23"/>
      <w:r>
        <w:rPr>
          <w:rStyle w:val="CharStyle7"/>
          <w:b/>
          <w:bCs/>
        </w:rPr>
        <w:t>Seção VII</w:t>
      </w:r>
      <w:bookmarkEnd w:id="23"/>
    </w:p>
    <w:p>
      <w:pPr>
        <w:pStyle w:val="Style6"/>
        <w:keepNext/>
        <w:keepLines/>
        <w:widowControl w:val="0"/>
        <w:shd w:val="clear" w:color="auto" w:fill="auto"/>
        <w:bidi w:val="0"/>
        <w:spacing w:before="0" w:after="120" w:line="240" w:lineRule="auto"/>
        <w:ind w:left="0" w:right="0" w:firstLine="0"/>
        <w:jc w:val="center"/>
      </w:pPr>
      <w:r>
        <w:rPr>
          <w:rStyle w:val="CharStyle7"/>
          <w:b/>
          <w:bCs/>
        </w:rPr>
        <w:t>Estimativa e Compensação da Renúncia de Receita</w:t>
      </w:r>
    </w:p>
    <w:p>
      <w:pPr>
        <w:pStyle w:val="Style2"/>
        <w:keepNext w:val="0"/>
        <w:keepLines w:val="0"/>
        <w:widowControl w:val="0"/>
        <w:shd w:val="clear" w:color="auto" w:fill="auto"/>
        <w:tabs>
          <w:tab w:pos="4521" w:val="left"/>
          <w:tab w:pos="5622" w:val="left"/>
          <w:tab w:pos="6594" w:val="left"/>
          <w:tab w:pos="9035" w:val="left"/>
        </w:tabs>
        <w:bidi w:val="0"/>
        <w:spacing w:before="0" w:after="0" w:line="240" w:lineRule="auto"/>
        <w:ind w:left="0" w:right="0" w:firstLine="1000"/>
        <w:jc w:val="both"/>
        <w:rPr>
          <w:sz w:val="22"/>
          <w:szCs w:val="22"/>
        </w:rPr>
      </w:pPr>
      <w:r>
        <w:rPr>
          <w:rStyle w:val="CharStyle3"/>
          <w:rFonts w:ascii="Times New Roman" w:eastAsia="Times New Roman" w:hAnsi="Times New Roman" w:cs="Times New Roman"/>
          <w:b/>
          <w:bCs/>
          <w:sz w:val="22"/>
          <w:szCs w:val="22"/>
        </w:rPr>
        <w:t>i n</w:t>
        <w:tab/>
        <w:t xml:space="preserve">K </w:t>
      </w:r>
      <w:r>
        <w:rPr>
          <w:rStyle w:val="CharStyle3"/>
          <w:b/>
          <w:bCs/>
          <w:smallCaps/>
        </w:rPr>
        <w:t>to</w:t>
        <w:tab/>
        <w:t>\/</w:t>
        <w:tab/>
        <w:t>ao .j- i</w:t>
      </w:r>
      <w:r>
        <w:rPr>
          <w:rStyle w:val="CharStyle3"/>
          <w:rFonts w:ascii="Times New Roman" w:eastAsia="Times New Roman" w:hAnsi="Times New Roman" w:cs="Times New Roman"/>
          <w:b/>
          <w:bCs/>
          <w:sz w:val="22"/>
          <w:szCs w:val="22"/>
        </w:rPr>
        <w:tab/>
        <w:t>~o mi</w:t>
      </w:r>
    </w:p>
    <w:p>
      <w:pPr>
        <w:pStyle w:val="Style2"/>
        <w:keepNext w:val="0"/>
        <w:keepLines w:val="0"/>
        <w:widowControl w:val="0"/>
        <w:shd w:val="clear" w:color="auto" w:fill="auto"/>
        <w:bidi w:val="0"/>
        <w:spacing w:before="0" w:after="120" w:line="182" w:lineRule="auto"/>
        <w:ind w:left="0" w:right="0" w:firstLine="1000"/>
        <w:jc w:val="both"/>
      </w:pPr>
      <w:r>
        <w:rPr>
          <w:rStyle w:val="CharStyle3"/>
          <w:b/>
          <w:bCs/>
        </w:rPr>
        <w:t xml:space="preserve">XX. I_l I I a LCI IUII I ICI ILU MM </w:t>
      </w:r>
      <w:r>
        <w:rPr>
          <w:rStyle w:val="CharStyle3"/>
          <w:b/>
          <w:bCs/>
          <w:lang w:val="pt-BR" w:eastAsia="pt-BR" w:bidi="pt-BR"/>
        </w:rPr>
        <w:t xml:space="preserve">UIJJJUJLU </w:t>
      </w:r>
      <w:r>
        <w:rPr>
          <w:rStyle w:val="CharStyle3"/>
          <w:b/>
          <w:bCs/>
        </w:rPr>
        <w:t>HM 3 X , IIIVIJU V, MM UI l. T- MCI LCI VVI II^ICIIICHiai II- XVX, MC</w:t>
      </w:r>
    </w:p>
    <w:p>
      <w:pPr>
        <w:pStyle w:val="Style4"/>
        <w:keepNext w:val="0"/>
        <w:keepLines w:val="0"/>
        <w:widowControl w:val="0"/>
        <w:shd w:val="clear" w:color="auto" w:fill="auto"/>
        <w:bidi w:val="0"/>
        <w:spacing w:before="0" w:after="120"/>
        <w:ind w:left="0" w:right="0" w:firstLine="0"/>
        <w:jc w:val="both"/>
      </w:pPr>
      <w:r>
        <w:rPr>
          <w:rStyle w:val="CharStyle5"/>
          <w:b/>
          <w:bCs/>
        </w:rPr>
        <w:t xml:space="preserve">4 de maio de 2000 (Lei de Responsabilidade Fiscal - LRF), </w:t>
      </w:r>
      <w:r>
        <w:rPr>
          <w:rStyle w:val="CharStyle5"/>
        </w:rPr>
        <w:t>o Anexo de Metas Fiscais deverá conter demonstrativo que indique a natureza da renúncia de receita e as medidas de compensação adotadas, de modo a não comprometer o equilíbrio das contas públicas.</w:t>
      </w:r>
    </w:p>
    <w:p>
      <w:pPr>
        <w:pStyle w:val="Style4"/>
        <w:keepNext w:val="0"/>
        <w:keepLines w:val="0"/>
        <w:widowControl w:val="0"/>
        <w:shd w:val="clear" w:color="auto" w:fill="auto"/>
        <w:bidi w:val="0"/>
        <w:spacing w:before="0" w:after="120" w:line="350" w:lineRule="auto"/>
        <w:ind w:left="0" w:right="0" w:firstLine="580"/>
        <w:jc w:val="both"/>
      </w:pPr>
      <w:r>
        <w:rPr>
          <w:rStyle w:val="CharStyle5"/>
        </w:rPr>
        <w:t xml:space="preserve">§ 1- A renúncia </w:t>
      </w:r>
      <w:r>
        <w:rPr>
          <w:rStyle w:val="CharStyle5"/>
          <w:lang w:val="pt-BR" w:eastAsia="pt-BR" w:bidi="pt-BR"/>
        </w:rPr>
        <w:t xml:space="preserve">Cumpreénue </w:t>
      </w:r>
      <w:r>
        <w:rPr>
          <w:rStyle w:val="CharStyle5"/>
        </w:rPr>
        <w:t xml:space="preserve">inCéntivOs fiscais, anistia, rémiSsaO, subsídio, Crédito presumido, concessão de isenção, alteração de </w:t>
      </w:r>
      <w:r>
        <w:rPr>
          <w:rStyle w:val="CharStyle5"/>
          <w:lang w:val="pt-BR" w:eastAsia="pt-BR" w:bidi="pt-BR"/>
        </w:rPr>
        <w:t xml:space="preserve">alíquota, </w:t>
      </w:r>
      <w:r>
        <w:rPr>
          <w:rStyle w:val="CharStyle5"/>
        </w:rPr>
        <w:t>modificação da base de cálculo e outros benefícios que correspondam a tratamento tributário diferenciado.</w:t>
      </w:r>
    </w:p>
    <w:p>
      <w:pPr>
        <w:pStyle w:val="Style4"/>
        <w:keepNext w:val="0"/>
        <w:keepLines w:val="0"/>
        <w:widowControl w:val="0"/>
        <w:shd w:val="clear" w:color="auto" w:fill="auto"/>
        <w:bidi w:val="0"/>
        <w:spacing w:before="0" w:after="560"/>
        <w:ind w:left="0" w:right="0" w:firstLine="580"/>
        <w:jc w:val="both"/>
      </w:pPr>
      <w:r>
        <w:rPr>
          <w:rStyle w:val="CharStyle5"/>
        </w:rPr>
        <w:t>§ 2</w:t>
      </w:r>
      <w:r>
        <w:rPr>
          <w:rStyle w:val="CharStyle5"/>
          <w:vertAlign w:val="superscript"/>
        </w:rPr>
        <w:t>2</w:t>
      </w:r>
      <w:r>
        <w:rPr>
          <w:rStyle w:val="CharStyle5"/>
        </w:rPr>
        <w:t xml:space="preserve"> A compensação será acompanhada de medidas decorrentes do aumento da receita, da ampliação da base de cáicuio, da majoração ou da criação de tributo ou contribuição.</w:t>
      </w:r>
    </w:p>
    <w:p>
      <w:pPr>
        <w:pStyle w:val="Style4"/>
        <w:keepNext w:val="0"/>
        <w:keepLines w:val="0"/>
        <w:widowControl w:val="0"/>
        <w:shd w:val="clear" w:color="auto" w:fill="auto"/>
        <w:bidi w:val="0"/>
        <w:spacing w:before="0" w:after="220" w:line="240" w:lineRule="auto"/>
        <w:ind w:left="0" w:right="0" w:firstLine="0"/>
        <w:jc w:val="center"/>
      </w:pPr>
      <w:r>
        <w:rPr>
          <w:rStyle w:val="CharStyle5"/>
          <w:b/>
          <w:bCs/>
        </w:rPr>
        <w:t>Seção VIII</w:t>
      </w:r>
    </w:p>
    <w:p>
      <w:pPr>
        <w:pStyle w:val="Style4"/>
        <w:keepNext w:val="0"/>
        <w:keepLines w:val="0"/>
        <w:widowControl w:val="0"/>
        <w:shd w:val="clear" w:color="auto" w:fill="auto"/>
        <w:bidi w:val="0"/>
        <w:spacing w:before="0" w:after="120" w:line="240" w:lineRule="auto"/>
        <w:ind w:left="0" w:right="0" w:firstLine="0"/>
        <w:jc w:val="center"/>
      </w:pPr>
      <w:r>
        <w:rPr>
          <w:rStyle w:val="CharStyle5"/>
          <w:b/>
          <w:bCs/>
        </w:rPr>
        <w:t>Margem de Expansão das Despesas Obrigatórias de Caráter Continuado</w:t>
      </w:r>
    </w:p>
    <w:p>
      <w:pPr>
        <w:pStyle w:val="Style15"/>
        <w:keepNext w:val="0"/>
        <w:keepLines w:val="0"/>
        <w:widowControl w:val="0"/>
        <w:shd w:val="clear" w:color="auto" w:fill="auto"/>
        <w:tabs>
          <w:tab w:pos="1208" w:val="left"/>
          <w:tab w:pos="3073" w:val="left"/>
          <w:tab w:pos="5557" w:val="left"/>
        </w:tabs>
        <w:bidi w:val="0"/>
        <w:spacing w:before="0" w:after="0" w:line="240" w:lineRule="auto"/>
        <w:ind w:left="0" w:right="0" w:firstLine="560"/>
        <w:jc w:val="both"/>
      </w:pPr>
      <w:r>
        <mc:AlternateContent>
          <mc:Choice Requires="wps">
            <w:drawing>
              <wp:anchor distT="0" distB="0" distL="101600" distR="101600" simplePos="0" relativeHeight="125829385" behindDoc="0" locked="0" layoutInCell="1" allowOverlap="1">
                <wp:simplePos x="0" y="0"/>
                <wp:positionH relativeFrom="page">
                  <wp:posOffset>928370</wp:posOffset>
                </wp:positionH>
                <wp:positionV relativeFrom="paragraph">
                  <wp:posOffset>76200</wp:posOffset>
                </wp:positionV>
                <wp:extent cx="452755" cy="160020"/>
                <wp:wrapSquare wrapText="right"/>
                <wp:docPr id="14" name="Shape 14"/>
                <a:graphic xmlns:a="http://schemas.openxmlformats.org/drawingml/2006/main">
                  <a:graphicData uri="http://schemas.microsoft.com/office/word/2010/wordprocessingShape">
                    <wps:wsp>
                      <wps:cNvSpPr txBox="1"/>
                      <wps:spPr>
                        <a:xfrm>
                          <a:ext cx="452755" cy="1600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rPr>
                              <w:t>Art. 13</w:t>
                            </w:r>
                          </w:p>
                        </w:txbxContent>
                      </wps:txbx>
                      <wps:bodyPr wrap="none" lIns="0" tIns="0" rIns="0" bIns="0">
                        <a:noAutoFit/>
                      </wps:bodyPr>
                    </wps:wsp>
                  </a:graphicData>
                </a:graphic>
              </wp:anchor>
            </w:drawing>
          </mc:Choice>
          <mc:Fallback>
            <w:pict>
              <v:shape id="_x0000_s1040" type="#_x0000_t202" style="position:absolute;margin-left:73.100000000000009pt;margin-top:6.pt;width:35.649999999999999pt;height:12.6pt;z-index:-125829368;mso-wrap-distance-left:8.pt;mso-wrap-distance-right:8.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rPr>
                        <w:t>Art. 13</w:t>
                      </w:r>
                    </w:p>
                  </w:txbxContent>
                </v:textbox>
                <w10:wrap type="square" side="right" anchorx="page"/>
              </v:shape>
            </w:pict>
          </mc:Fallback>
        </mc:AlternateContent>
      </w:r>
      <w:r>
        <w:rPr>
          <w:rStyle w:val="CharStyle16"/>
          <w:b/>
          <w:bCs/>
        </w:rPr>
        <w:t>ii</w:t>
        <w:tab/>
        <w:t>।</w:t>
        <w:tab/>
        <w:t xml:space="preserve">—o mi </w:t>
      </w:r>
      <w:r>
        <w:rPr>
          <w:rStyle w:val="CharStyle16"/>
          <w:rFonts w:ascii="Arial" w:eastAsia="Arial" w:hAnsi="Arial" w:cs="Arial"/>
          <w:i/>
          <w:iCs/>
          <w:smallCaps/>
          <w:sz w:val="13"/>
          <w:szCs w:val="13"/>
        </w:rPr>
        <w:t>a</w:t>
      </w:r>
      <w:r>
        <w:rPr>
          <w:rStyle w:val="CharStyle16"/>
          <w:b/>
          <w:bCs/>
        </w:rPr>
        <w:tab/>
        <w:t>innn /i</w:t>
      </w:r>
    </w:p>
    <w:p>
      <w:pPr>
        <w:pStyle w:val="Style2"/>
        <w:keepNext w:val="0"/>
        <w:keepLines w:val="0"/>
        <w:widowControl w:val="0"/>
        <w:shd w:val="clear" w:color="auto" w:fill="auto"/>
        <w:bidi w:val="0"/>
        <w:spacing w:before="0" w:after="120" w:line="182" w:lineRule="auto"/>
        <w:ind w:left="0" w:right="0"/>
        <w:jc w:val="both"/>
      </w:pPr>
      <w:r>
        <w:rPr>
          <w:rStyle w:val="CharStyle3"/>
          <w:b/>
          <w:bCs/>
        </w:rPr>
        <w:t>X/ MCI LCI VVIIipiCIIICIIiai II- XVX, MC T MC IIIMIM MC XWV (LCI MC ncIIMQMC</w:t>
      </w:r>
    </w:p>
    <w:p>
      <w:pPr>
        <w:pStyle w:val="Style4"/>
        <w:keepNext w:val="0"/>
        <w:keepLines w:val="0"/>
        <w:widowControl w:val="0"/>
        <w:shd w:val="clear" w:color="auto" w:fill="auto"/>
        <w:bidi w:val="0"/>
        <w:spacing w:before="0" w:after="120"/>
        <w:ind w:left="0" w:right="0" w:firstLine="0"/>
        <w:jc w:val="both"/>
      </w:pPr>
      <w:r>
        <w:rPr>
          <w:rStyle w:val="CharStyle5"/>
          <w:b/>
          <w:bCs/>
        </w:rPr>
        <w:t xml:space="preserve">Fiscal - LRF) </w:t>
      </w:r>
      <w:r>
        <w:rPr>
          <w:rStyle w:val="CharStyle5"/>
        </w:rPr>
        <w:t>considera obrigatória de caráter continuado a despesa corrente derivada de lei, medida provisória ou ato administrativo normativo que fixe para o ente a obrigação legal de sua execução por período superior a dois exercícios.</w:t>
      </w:r>
    </w:p>
    <w:p>
      <w:pPr>
        <w:pStyle w:val="Style4"/>
        <w:keepNext w:val="0"/>
        <w:keepLines w:val="0"/>
        <w:widowControl w:val="0"/>
        <w:shd w:val="clear" w:color="auto" w:fill="auto"/>
        <w:bidi w:val="0"/>
        <w:spacing w:before="0" w:after="560" w:line="350" w:lineRule="auto"/>
        <w:ind w:left="0" w:right="0" w:firstLine="580"/>
        <w:jc w:val="both"/>
      </w:pPr>
      <w:r>
        <w:rPr>
          <w:rStyle w:val="CharStyle5"/>
          <w:lang w:val="pt-BR" w:eastAsia="pt-BR" w:bidi="pt-BR"/>
        </w:rPr>
        <w:t xml:space="preserve">Pdidgídíü </w:t>
      </w:r>
      <w:r>
        <w:rPr>
          <w:rStyle w:val="CharStyle5"/>
        </w:rPr>
        <w:t xml:space="preserve">único. O Demonstrativo Víii — Màrgèrn ué Expansão das DéSpéSáS Obrigatórias ué Caráter Continuado </w:t>
      </w:r>
      <w:r>
        <w:rPr>
          <w:rStyle w:val="CharStyle5"/>
          <w:lang w:val="pt-BR" w:eastAsia="pt-BR" w:bidi="pt-BR"/>
        </w:rPr>
        <w:t xml:space="preserve">destina-se </w:t>
      </w:r>
      <w:r>
        <w:rPr>
          <w:rStyle w:val="CharStyle5"/>
        </w:rPr>
        <w:t xml:space="preserve">a permitir a eventual inclusão de programas, projetos ou atividades que venham a </w:t>
      </w:r>
      <w:r>
        <w:rPr>
          <w:rStyle w:val="CharStyle5"/>
          <w:lang w:val="pt-BR" w:eastAsia="pt-BR" w:bidi="pt-BR"/>
        </w:rPr>
        <w:t xml:space="preserve">caracterizar </w:t>
      </w:r>
      <w:r>
        <w:rPr>
          <w:rStyle w:val="CharStyle5"/>
        </w:rPr>
        <w:t>a criação de despesas obrigatórias de caráter continuado.</w:t>
      </w:r>
    </w:p>
    <w:p>
      <w:pPr>
        <w:pStyle w:val="Style4"/>
        <w:keepNext w:val="0"/>
        <w:keepLines w:val="0"/>
        <w:widowControl w:val="0"/>
        <w:shd w:val="clear" w:color="auto" w:fill="auto"/>
        <w:bidi w:val="0"/>
        <w:spacing w:before="0" w:after="220" w:line="240" w:lineRule="auto"/>
        <w:ind w:left="0" w:right="0" w:firstLine="0"/>
        <w:jc w:val="center"/>
      </w:pPr>
      <w:r>
        <w:rPr>
          <w:rStyle w:val="CharStyle5"/>
          <w:b/>
          <w:bCs/>
        </w:rPr>
        <w:t>Seção IX</w:t>
      </w:r>
    </w:p>
    <w:p>
      <w:pPr>
        <w:pStyle w:val="Style4"/>
        <w:keepNext w:val="0"/>
        <w:keepLines w:val="0"/>
        <w:widowControl w:val="0"/>
        <w:shd w:val="clear" w:color="auto" w:fill="auto"/>
        <w:bidi w:val="0"/>
        <w:spacing w:before="0" w:after="120" w:line="346" w:lineRule="auto"/>
        <w:ind w:left="0" w:right="0" w:firstLine="0"/>
        <w:jc w:val="center"/>
      </w:pPr>
      <w:r>
        <w:rPr>
          <w:rStyle w:val="CharStyle5"/>
          <w:b/>
          <w:bCs/>
        </w:rPr>
        <w:t>Memória e Metodologia de Cálculo das Metas Anuais de Receitas, Despesas, Resultado Primário,</w:t>
        <w:br/>
        <w:t>Resultado Nominal e Montante da Dívida Pública</w:t>
      </w:r>
    </w:p>
    <w:p>
      <w:pPr>
        <w:pStyle w:val="Style6"/>
        <w:keepNext/>
        <w:keepLines/>
        <w:widowControl w:val="0"/>
        <w:shd w:val="clear" w:color="auto" w:fill="auto"/>
        <w:bidi w:val="0"/>
        <w:spacing w:before="0" w:line="240" w:lineRule="auto"/>
        <w:ind w:left="0" w:right="0" w:firstLine="0"/>
        <w:jc w:val="center"/>
      </w:pPr>
      <w:bookmarkStart w:id="26" w:name="bookmark26"/>
      <w:r>
        <w:rPr>
          <w:rStyle w:val="CharStyle7"/>
          <w:b/>
          <w:bCs/>
        </w:rPr>
        <w:t>Metodologia e Memória de Cálculo das Metas Anuais das Receitas e Despesas</w:t>
      </w:r>
      <w:bookmarkEnd w:id="26"/>
    </w:p>
    <w:p>
      <w:pPr>
        <w:pStyle w:val="Style4"/>
        <w:keepNext w:val="0"/>
        <w:keepLines w:val="0"/>
        <w:widowControl w:val="0"/>
        <w:shd w:val="clear" w:color="auto" w:fill="auto"/>
        <w:bidi w:val="0"/>
        <w:spacing w:before="0" w:after="160"/>
        <w:ind w:left="0" w:right="0" w:firstLine="580"/>
        <w:jc w:val="both"/>
      </w:pPr>
      <w:r>
        <w:rPr>
          <w:rStyle w:val="CharStyle5"/>
        </w:rPr>
        <w:t xml:space="preserve">Art. 14. Em atendimento ao disposto no § 2^, inciso II, do art. 4^ da </w:t>
      </w:r>
      <w:r>
        <w:rPr>
          <w:rStyle w:val="CharStyle5"/>
          <w:b/>
          <w:bCs/>
        </w:rPr>
        <w:t xml:space="preserve">Lei Complementar n$ 101, de 4 de maio de 2000 (Lei de Responsabilidade Fiscal - LRF), </w:t>
      </w:r>
      <w:r>
        <w:rPr>
          <w:rStyle w:val="CharStyle5"/>
        </w:rPr>
        <w:t xml:space="preserve">o Demonstrativo de Metas Anuais deverá ser instruído com memória e metodologia de cálculo que justifiquem os resultados pretendidos, comparando-os com os fixados nos três exercícios anteriores e evidenciando sua consistência com as premissas e os objetivos da política </w:t>
      </w:r>
      <w:r>
        <w:rPr>
          <w:rStyle w:val="CharStyle5"/>
          <w:lang w:val="pt-BR" w:eastAsia="pt-BR" w:bidi="pt-BR"/>
        </w:rPr>
        <w:t xml:space="preserve">econômica </w:t>
      </w:r>
      <w:r>
        <w:rPr>
          <w:rStyle w:val="CharStyle5"/>
        </w:rPr>
        <w:t>nacional.</w:t>
      </w:r>
    </w:p>
    <w:p>
      <w:pPr>
        <w:widowControl w:val="0"/>
        <w:jc w:val="center"/>
        <w:rPr>
          <w:sz w:val="2"/>
          <w:szCs w:val="2"/>
        </w:rPr>
      </w:pPr>
      <w:r>
        <w:drawing>
          <wp:inline>
            <wp:extent cx="859790" cy="591185"/>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7"/>
                    <a:stretch/>
                  </pic:blipFill>
                  <pic:spPr>
                    <a:xfrm>
                      <a:ext cx="859790" cy="591185"/>
                    </a:xfrm>
                    <a:prstGeom prst="rect"/>
                  </pic:spPr>
                </pic:pic>
              </a:graphicData>
            </a:graphic>
          </wp:inline>
        </w:drawing>
      </w:r>
    </w:p>
    <w:p>
      <w:pPr>
        <w:widowControl w:val="0"/>
        <w:spacing w:after="159" w:line="1" w:lineRule="exact"/>
      </w:pPr>
    </w:p>
    <w:p>
      <w:pPr>
        <w:pStyle w:val="Style6"/>
        <w:keepNext/>
        <w:keepLines/>
        <w:widowControl w:val="0"/>
        <w:shd w:val="clear" w:color="auto" w:fill="auto"/>
        <w:bidi w:val="0"/>
        <w:spacing w:before="0" w:after="0" w:line="240" w:lineRule="auto"/>
        <w:ind w:left="0" w:right="0" w:firstLine="0"/>
        <w:jc w:val="center"/>
        <w:rPr>
          <w:sz w:val="22"/>
          <w:szCs w:val="22"/>
        </w:rPr>
      </w:pPr>
      <w:bookmarkStart w:id="28" w:name="bookmark28"/>
      <w:r>
        <w:rPr>
          <w:rStyle w:val="CharStyle7"/>
          <w:rFonts w:ascii="Times New Roman" w:eastAsia="Times New Roman" w:hAnsi="Times New Roman" w:cs="Times New Roman"/>
          <w:b/>
          <w:bCs/>
          <w:sz w:val="22"/>
          <w:szCs w:val="22"/>
        </w:rPr>
        <w:t>PREFEITURA MUNICIPAL DE CAREIRO DA VÁRZEA</w:t>
      </w:r>
      <w:bookmarkEnd w:id="28"/>
    </w:p>
    <w:p>
      <w:pPr>
        <w:pStyle w:val="Style9"/>
        <w:keepNext w:val="0"/>
        <w:keepLines w:val="0"/>
        <w:widowControl w:val="0"/>
        <w:shd w:val="clear" w:color="auto" w:fill="auto"/>
        <w:bidi w:val="0"/>
        <w:spacing w:before="0" w:line="151" w:lineRule="auto"/>
        <w:ind w:left="0" w:right="0" w:firstLine="0"/>
        <w:jc w:val="center"/>
      </w:pPr>
      <w:r>
        <w:rPr>
          <w:rStyle w:val="CharStyle10"/>
          <w:b/>
          <w:bCs/>
          <w:smallCaps/>
          <w:sz w:val="16"/>
          <w:szCs w:val="16"/>
        </w:rPr>
        <w:t>a</w:t>
      </w:r>
      <w:r>
        <w:rPr>
          <w:rStyle w:val="CharStyle10"/>
          <w:b/>
          <w:bCs/>
        </w:rPr>
        <w:t xml:space="preserve"> nnikTrrrr’ nnr^rrTTnrv</w:t>
        <w:br/>
        <w:t xml:space="preserve">KjíMoii^rj i </w:t>
      </w:r>
      <w:r>
        <w:rPr>
          <w:rStyle w:val="CharStyle10"/>
          <w:b/>
          <w:bCs/>
          <w:smallCaps/>
          <w:sz w:val="16"/>
          <w:szCs w:val="16"/>
        </w:rPr>
        <w:t xml:space="preserve">jl </w:t>
      </w:r>
      <w:r>
        <w:rPr>
          <w:rStyle w:val="CharStyle10"/>
          <w:rFonts w:ascii="Arial" w:eastAsia="Arial" w:hAnsi="Arial" w:cs="Arial"/>
          <w:i/>
          <w:iCs/>
          <w:smallCaps/>
          <w:sz w:val="13"/>
          <w:szCs w:val="13"/>
        </w:rPr>
        <w:t>ukj</w:t>
      </w:r>
      <w:r>
        <w:rPr>
          <w:rStyle w:val="CharStyle10"/>
          <w:b/>
          <w:bCs/>
        </w:rPr>
        <w:t xml:space="preserve"> nvErraiv</w:t>
      </w:r>
    </w:p>
    <w:p>
      <w:pPr>
        <w:pStyle w:val="Style4"/>
        <w:keepNext w:val="0"/>
        <w:keepLines w:val="0"/>
        <w:widowControl w:val="0"/>
        <w:shd w:val="clear" w:color="auto" w:fill="auto"/>
        <w:bidi w:val="0"/>
        <w:spacing w:before="0" w:after="560" w:line="350" w:lineRule="auto"/>
        <w:ind w:left="0" w:right="0" w:firstLine="560"/>
        <w:jc w:val="both"/>
      </w:pPr>
      <w:r>
        <w:rPr>
          <w:rStyle w:val="CharStyle5"/>
        </w:rPr>
        <w:t xml:space="preserve">Parágrafo único. De conformidade com a </w:t>
      </w:r>
      <w:r>
        <w:rPr>
          <w:rStyle w:val="CharStyle5"/>
          <w:b/>
          <w:bCs/>
        </w:rPr>
        <w:t xml:space="preserve">Portaria STN ns 2.057, de 15 de setembro de 2025, </w:t>
      </w:r>
      <w:r>
        <w:rPr>
          <w:rStyle w:val="CharStyle5"/>
        </w:rPr>
        <w:t xml:space="preserve">a base de dados da receita e da despesa é constituída pelos valores arrecadados da receita realizada e da despesa executada nos três exercícios anteriores, bem como pelas previsões para os exercícios de </w:t>
      </w:r>
      <w:r>
        <w:rPr>
          <w:rStyle w:val="CharStyle5"/>
          <w:b/>
          <w:bCs/>
        </w:rPr>
        <w:t xml:space="preserve">2027 </w:t>
      </w:r>
      <w:r>
        <w:rPr>
          <w:rStyle w:val="CharStyle5"/>
        </w:rPr>
        <w:t xml:space="preserve">e </w:t>
      </w:r>
      <w:r>
        <w:rPr>
          <w:rStyle w:val="CharStyle5"/>
          <w:b/>
          <w:bCs/>
        </w:rPr>
        <w:t>2028.</w:t>
      </w:r>
    </w:p>
    <w:p>
      <w:pPr>
        <w:pStyle w:val="Style6"/>
        <w:keepNext/>
        <w:keepLines/>
        <w:widowControl w:val="0"/>
        <w:shd w:val="clear" w:color="auto" w:fill="auto"/>
        <w:bidi w:val="0"/>
        <w:spacing w:before="0" w:line="240" w:lineRule="auto"/>
        <w:ind w:left="0" w:right="0" w:firstLine="0"/>
        <w:jc w:val="center"/>
      </w:pPr>
      <w:bookmarkStart w:id="30" w:name="bookmark30"/>
      <w:r>
        <w:rPr>
          <w:rStyle w:val="CharStyle7"/>
          <w:b/>
          <w:bCs/>
        </w:rPr>
        <w:t>Seção X</w:t>
      </w:r>
      <w:bookmarkEnd w:id="30"/>
    </w:p>
    <w:p>
      <w:pPr>
        <w:pStyle w:val="Style6"/>
        <w:keepNext/>
        <w:keepLines/>
        <w:widowControl w:val="0"/>
        <w:shd w:val="clear" w:color="auto" w:fill="auto"/>
        <w:bidi w:val="0"/>
        <w:spacing w:before="0" w:line="240" w:lineRule="auto"/>
        <w:ind w:left="0" w:right="0" w:firstLine="0"/>
        <w:jc w:val="center"/>
      </w:pPr>
      <w:r>
        <w:rPr>
          <w:rStyle w:val="CharStyle7"/>
          <w:b/>
          <w:bCs/>
        </w:rPr>
        <w:t>Metodologia e Memória de Cálculo das Metas Anuais do Resultado Primário</w:t>
      </w:r>
    </w:p>
    <w:p>
      <w:pPr>
        <w:pStyle w:val="Style2"/>
        <w:keepNext w:val="0"/>
        <w:keepLines w:val="0"/>
        <w:widowControl w:val="0"/>
        <w:shd w:val="clear" w:color="auto" w:fill="auto"/>
        <w:tabs>
          <w:tab w:pos="1024" w:val="left"/>
          <w:tab w:pos="1585" w:val="left"/>
          <w:tab w:pos="1816" w:val="left"/>
          <w:tab w:pos="2291" w:val="left"/>
          <w:tab w:pos="2536" w:val="left"/>
          <w:tab w:pos="2961" w:val="left"/>
          <w:tab w:pos="4711" w:val="left"/>
          <w:tab w:pos="5506" w:val="left"/>
          <w:tab w:pos="5927" w:val="left"/>
          <w:tab w:pos="7540" w:val="left"/>
          <w:tab w:pos="8339" w:val="left"/>
          <w:tab w:pos="8620" w:val="left"/>
          <w:tab w:pos="9632" w:val="left"/>
        </w:tabs>
        <w:bidi w:val="0"/>
        <w:spacing w:before="0" w:after="0" w:line="240" w:lineRule="auto"/>
        <w:ind w:left="0" w:right="0"/>
        <w:jc w:val="both"/>
      </w:pPr>
      <w:r>
        <w:rPr>
          <w:rStyle w:val="CharStyle3"/>
          <w:b/>
          <w:bCs/>
        </w:rPr>
        <w:t>A •—4-</w:t>
        <w:tab/>
        <w:t>*1 C A</w:t>
        <w:tab/>
        <w:t>í •</w:t>
        <w:tab/>
        <w:t>-i 11 r4</w:t>
        <w:tab/>
        <w:t>&lt;4</w:t>
        <w:tab/>
        <w:t>*4 o</w:t>
        <w:tab/>
        <w:t>r</w:t>
      </w:r>
      <w:r>
        <w:rPr>
          <w:rStyle w:val="CharStyle3"/>
          <w:b/>
          <w:bCs/>
          <w:vertAlign w:val="superscript"/>
        </w:rPr>
        <w:t>-</w:t>
      </w:r>
      <w:r>
        <w:rPr>
          <w:rStyle w:val="CharStyle3"/>
          <w:b/>
          <w:bCs/>
        </w:rPr>
        <w:t>zt &lt;” • 114-/4 &gt;«-*</w:t>
        <w:tab/>
        <w:t xml:space="preserve">A A </w:t>
      </w:r>
      <w:r>
        <w:rPr>
          <w:rStyle w:val="CharStyle3"/>
          <w:b/>
          <w:bCs/>
          <w:i/>
          <w:iCs/>
        </w:rPr>
        <w:t>r&gt;</w:t>
        <w:tab/>
        <w:t>r</w:t>
      </w:r>
      <w:r>
        <w:rPr>
          <w:rStyle w:val="CharStyle3"/>
          <w:b/>
          <w:bCs/>
        </w:rPr>
        <w:t xml:space="preserve"> 4*</w:t>
        <w:tab/>
      </w:r>
      <w:r>
        <w:rPr>
          <w:rStyle w:val="CharStyle3"/>
          <w:b/>
          <w:bCs/>
          <w:i/>
          <w:iCs/>
        </w:rPr>
        <w:t>r r'</w:t>
      </w:r>
      <w:r>
        <w:rPr>
          <w:rStyle w:val="CharStyle3"/>
          <w:b/>
          <w:bCs/>
        </w:rPr>
        <w:t>*4</w:t>
        <w:tab/>
        <w:t>rmc + nr</w:t>
        <w:tab/>
      </w:r>
      <w:r>
        <w:rPr>
          <w:rStyle w:val="CharStyle3"/>
          <w:b/>
          <w:bCs/>
          <w:i/>
          <w:iCs/>
        </w:rPr>
        <w:t>tr</w:t>
      </w:r>
      <w:r>
        <w:rPr>
          <w:rStyle w:val="CharStyle3"/>
          <w:b/>
          <w:bCs/>
        </w:rPr>
        <w:tab/>
      </w:r>
      <w:r>
        <w:rPr>
          <w:rStyle w:val="CharStyle3"/>
          <w:b/>
          <w:bCs/>
          <w:lang w:val="pt-BR" w:eastAsia="pt-BR" w:bidi="pt-BR"/>
        </w:rPr>
        <w:t xml:space="preserve">rw </w:t>
      </w:r>
      <w:r>
        <w:rPr>
          <w:rStyle w:val="CharStyle3"/>
          <w:b/>
          <w:bCs/>
          <w:smallCaps/>
        </w:rPr>
        <w:t>za h*</w:t>
      </w:r>
      <w:r>
        <w:rPr>
          <w:rStyle w:val="CharStyle3"/>
          <w:b/>
          <w:bCs/>
        </w:rPr>
        <w:t xml:space="preserve"> 4- A </w:t>
      </w:r>
      <w:r>
        <w:rPr>
          <w:rStyle w:val="CharStyle3"/>
          <w:b/>
          <w:bCs/>
          <w:smallCaps/>
        </w:rPr>
        <w:t>k</w:t>
      </w:r>
      <w:r>
        <w:rPr>
          <w:rStyle w:val="CharStyle3"/>
          <w:b/>
          <w:bCs/>
        </w:rPr>
        <w:t xml:space="preserve"> í</w:t>
        <w:tab/>
        <w:t>r'A</w:t>
      </w:r>
    </w:p>
    <w:p>
      <w:pPr>
        <w:pStyle w:val="Style2"/>
        <w:keepNext w:val="0"/>
        <w:keepLines w:val="0"/>
        <w:widowControl w:val="0"/>
        <w:shd w:val="clear" w:color="auto" w:fill="auto"/>
        <w:tabs>
          <w:tab w:pos="1489" w:val="left"/>
          <w:tab w:pos="4711" w:val="left"/>
          <w:tab w:pos="6615" w:val="left"/>
        </w:tabs>
        <w:bidi w:val="0"/>
        <w:spacing w:before="0" w:after="160" w:line="182" w:lineRule="auto"/>
        <w:ind w:left="0" w:right="0"/>
        <w:jc w:val="both"/>
      </w:pPr>
      <w:r>
        <w:rPr>
          <w:rStyle w:val="CharStyle3"/>
          <w:b/>
          <w:bCs/>
        </w:rPr>
        <w:t>m i.</w:t>
        <w:tab/>
        <w:t>111 iuiiuMuv vik/ «</w:t>
        <w:tab/>
      </w:r>
      <w:r>
        <w:rPr>
          <w:rStyle w:val="CharStyle3"/>
          <w:b/>
          <w:bCs/>
          <w:smallCaps/>
        </w:rPr>
        <w:t>v, mv.iiivi ijvi</w:t>
      </w:r>
      <w:r>
        <w:rPr>
          <w:rStyle w:val="CharStyle3"/>
          <w:b/>
          <w:bCs/>
        </w:rPr>
        <w:t xml:space="preserve"> ur </w:t>
      </w:r>
      <w:r>
        <w:rPr>
          <w:rStyle w:val="CharStyle3"/>
          <w:b/>
          <w:bCs/>
          <w:smallCaps/>
        </w:rPr>
        <w:t>jc</w:t>
      </w:r>
      <w:r>
        <w:rPr>
          <w:rStyle w:val="CharStyle3"/>
          <w:b/>
          <w:bCs/>
        </w:rPr>
        <w:tab/>
        <w:t xml:space="preserve">1ii v ci </w:t>
      </w:r>
      <w:r>
        <w:rPr>
          <w:rStyle w:val="CharStyle3"/>
          <w:b/>
          <w:bCs/>
          <w:smallCaps/>
        </w:rPr>
        <w:t>j vi</w:t>
      </w:r>
      <w:r>
        <w:rPr>
          <w:rStyle w:val="CharStyle3"/>
          <w:b/>
          <w:bCs/>
        </w:rPr>
        <w:t xml:space="preserve"> t gooiuo ui \j.ai i </w:t>
      </w:r>
      <w:r>
        <w:rPr>
          <w:rStyle w:val="CharStyle3"/>
          <w:b/>
          <w:bCs/>
          <w:smallCaps/>
        </w:rPr>
        <w:t>ici</w:t>
      </w:r>
      <w:r>
        <w:rPr>
          <w:rStyle w:val="CharStyle3"/>
          <w:b/>
          <w:bCs/>
        </w:rPr>
        <w:t xml:space="preserve"> itut i </w:t>
      </w:r>
      <w:r>
        <w:rPr>
          <w:rStyle w:val="CharStyle3"/>
          <w:b/>
          <w:bCs/>
          <w:smallCaps/>
        </w:rPr>
        <w:t>wj</w:t>
      </w:r>
      <w:r>
        <w:rPr>
          <w:rStyle w:val="CharStyle3"/>
          <w:b/>
          <w:bCs/>
        </w:rPr>
        <w:t xml:space="preserve"> oau</w:t>
      </w:r>
    </w:p>
    <w:p>
      <w:pPr>
        <w:pStyle w:val="Style4"/>
        <w:keepNext w:val="0"/>
        <w:keepLines w:val="0"/>
        <w:widowControl w:val="0"/>
        <w:shd w:val="clear" w:color="auto" w:fill="auto"/>
        <w:bidi w:val="0"/>
        <w:spacing w:before="0" w:after="120"/>
        <w:ind w:left="0" w:right="0" w:firstLine="0"/>
        <w:jc w:val="both"/>
      </w:pPr>
      <w:r>
        <w:rPr>
          <w:rStyle w:val="CharStyle5"/>
        </w:rPr>
        <w:t>compatíveis com a arrecadação, ou seja, se as receitas não financeiras são suficientes para suportar as despesas não financeiras.</w:t>
      </w:r>
    </w:p>
    <w:p>
      <w:pPr>
        <w:pStyle w:val="Style4"/>
        <w:keepNext w:val="0"/>
        <w:keepLines w:val="0"/>
        <w:widowControl w:val="0"/>
        <w:shd w:val="clear" w:color="auto" w:fill="auto"/>
        <w:bidi w:val="0"/>
        <w:spacing w:before="0" w:after="560"/>
        <w:ind w:left="0" w:right="0" w:firstLine="560"/>
        <w:jc w:val="both"/>
      </w:pPr>
      <w:r>
        <w:rPr>
          <w:rStyle w:val="CharStyle5"/>
        </w:rPr>
        <w:t xml:space="preserve">Art. 16. O cálculo da meta de resultado primário deverá obedecer à metodologia estabelecida pelo Governo Feder aí, por meio das Por lar ias expedidas peid Secretaria do Tesouro Naciônãt (STN) e </w:t>
      </w:r>
      <w:r>
        <w:rPr>
          <w:rStyle w:val="CharStyle5"/>
          <w:lang w:val="pt-BR" w:eastAsia="pt-BR" w:bidi="pt-BR"/>
        </w:rPr>
        <w:t xml:space="preserve">às </w:t>
      </w:r>
      <w:r>
        <w:rPr>
          <w:rStyle w:val="CharStyle5"/>
        </w:rPr>
        <w:t>normas de contabilidade pública.</w:t>
      </w:r>
    </w:p>
    <w:p>
      <w:pPr>
        <w:pStyle w:val="Style6"/>
        <w:keepNext/>
        <w:keepLines/>
        <w:widowControl w:val="0"/>
        <w:shd w:val="clear" w:color="auto" w:fill="auto"/>
        <w:bidi w:val="0"/>
        <w:spacing w:before="0" w:line="240" w:lineRule="auto"/>
        <w:ind w:left="0" w:right="0" w:firstLine="0"/>
        <w:jc w:val="center"/>
      </w:pPr>
      <w:bookmarkStart w:id="33" w:name="bookmark33"/>
      <w:r>
        <w:rPr>
          <w:rStyle w:val="CharStyle7"/>
          <w:b/>
          <w:bCs/>
        </w:rPr>
        <w:t>Seção XI</w:t>
      </w:r>
      <w:bookmarkEnd w:id="33"/>
    </w:p>
    <w:p>
      <w:pPr>
        <w:pStyle w:val="Style6"/>
        <w:keepNext/>
        <w:keepLines/>
        <w:widowControl w:val="0"/>
        <w:shd w:val="clear" w:color="auto" w:fill="auto"/>
        <w:bidi w:val="0"/>
        <w:spacing w:before="0" w:line="240" w:lineRule="auto"/>
        <w:ind w:left="0" w:right="0" w:firstLine="0"/>
        <w:jc w:val="center"/>
      </w:pPr>
      <w:r>
        <w:rPr>
          <w:rStyle w:val="CharStyle7"/>
          <w:b/>
          <w:bCs/>
        </w:rPr>
        <w:t>Metodologia e Memória de Cálculo das Metas Anuais do Resultado Nominal</w:t>
      </w:r>
    </w:p>
    <w:p>
      <w:pPr>
        <w:pStyle w:val="Style4"/>
        <w:keepNext w:val="0"/>
        <w:keepLines w:val="0"/>
        <w:widowControl w:val="0"/>
        <w:shd w:val="clear" w:color="auto" w:fill="auto"/>
        <w:bidi w:val="0"/>
        <w:spacing w:before="0" w:after="120" w:line="240" w:lineRule="auto"/>
        <w:ind w:left="0" w:right="0" w:firstLine="560"/>
        <w:jc w:val="both"/>
      </w:pPr>
      <w:r>
        <w:rPr>
          <w:rStyle w:val="CharStyle5"/>
        </w:rPr>
        <w:t>Art. 17.0 cálculo do resultado nominal deverá obedecerá metodologia estabelecida pelo Governo</w:t>
      </w:r>
    </w:p>
    <w:p>
      <w:pPr>
        <w:pStyle w:val="Style4"/>
        <w:keepNext w:val="0"/>
        <w:keepLines w:val="0"/>
        <w:widowControl w:val="0"/>
        <w:shd w:val="clear" w:color="auto" w:fill="auto"/>
        <w:bidi w:val="0"/>
        <w:spacing w:before="0" w:after="220" w:line="240" w:lineRule="auto"/>
        <w:ind w:left="0" w:right="0" w:firstLine="0"/>
        <w:jc w:val="both"/>
      </w:pPr>
      <w:r>
        <w:rPr>
          <w:rStyle w:val="CharStyle5"/>
        </w:rPr>
        <w:t xml:space="preserve">Federal, regulamentada pela </w:t>
      </w:r>
      <w:r>
        <w:rPr>
          <w:rStyle w:val="CharStyle5"/>
          <w:b/>
          <w:bCs/>
        </w:rPr>
        <w:t>Secretaria do Tesouro Nacional (STN).</w:t>
      </w:r>
    </w:p>
    <w:p>
      <w:pPr>
        <w:pStyle w:val="Style4"/>
        <w:keepNext w:val="0"/>
        <w:keepLines w:val="0"/>
        <w:widowControl w:val="0"/>
        <w:shd w:val="clear" w:color="auto" w:fill="auto"/>
        <w:bidi w:val="0"/>
        <w:spacing w:before="0" w:after="560"/>
        <w:ind w:left="0" w:right="0" w:firstLine="560"/>
        <w:jc w:val="both"/>
      </w:pPr>
      <w:r>
        <w:rPr>
          <w:rStyle w:val="CharStyle5"/>
        </w:rPr>
        <w:t xml:space="preserve">Parágrafo único. O cálculo das metas anuais do resultado nominal deverá considerar a dívida consolidada, da qual será deduzido o ativo disponível, acrescido dos haveres financeiros e deduzidos os restos a pagar processados, resultando na dívida consolidada líquida. A esse resultado serão somadas as receitas de </w:t>
      </w:r>
      <w:r>
        <w:rPr>
          <w:rStyle w:val="CharStyle5"/>
          <w:lang w:val="pt-BR" w:eastAsia="pt-BR" w:bidi="pt-BR"/>
        </w:rPr>
        <w:t xml:space="preserve">privatizações </w:t>
      </w:r>
      <w:r>
        <w:rPr>
          <w:rStyle w:val="CharStyle5"/>
        </w:rPr>
        <w:t>e deduzidos os passivos reconhecidos, obtendo-se a dívida fiscal líquida.</w:t>
      </w:r>
    </w:p>
    <w:p>
      <w:pPr>
        <w:pStyle w:val="Style6"/>
        <w:keepNext/>
        <w:keepLines/>
        <w:widowControl w:val="0"/>
        <w:shd w:val="clear" w:color="auto" w:fill="auto"/>
        <w:bidi w:val="0"/>
        <w:spacing w:before="0" w:line="240" w:lineRule="auto"/>
        <w:ind w:left="0" w:right="0" w:firstLine="0"/>
        <w:jc w:val="center"/>
      </w:pPr>
      <w:bookmarkStart w:id="36" w:name="bookmark36"/>
      <w:r>
        <w:rPr>
          <w:rStyle w:val="CharStyle7"/>
          <w:b/>
          <w:bCs/>
        </w:rPr>
        <w:t>Seção XII</w:t>
      </w:r>
      <w:bookmarkEnd w:id="36"/>
    </w:p>
    <w:p>
      <w:pPr>
        <w:pStyle w:val="Style6"/>
        <w:keepNext/>
        <w:keepLines/>
        <w:widowControl w:val="0"/>
        <w:shd w:val="clear" w:color="auto" w:fill="auto"/>
        <w:bidi w:val="0"/>
        <w:spacing w:before="0" w:line="240" w:lineRule="auto"/>
        <w:ind w:left="0" w:right="0" w:firstLine="0"/>
        <w:jc w:val="center"/>
      </w:pPr>
      <w:r>
        <w:rPr>
          <w:rStyle w:val="CharStyle7"/>
          <w:b/>
          <w:bCs/>
        </w:rPr>
        <w:t>Metodologia e Memória de Cálculo das Metas Anuais do Montante da Dívida Pública</w:t>
      </w:r>
    </w:p>
    <w:p>
      <w:pPr>
        <w:pStyle w:val="Style4"/>
        <w:keepNext w:val="0"/>
        <w:keepLines w:val="0"/>
        <w:widowControl w:val="0"/>
        <w:shd w:val="clear" w:color="auto" w:fill="auto"/>
        <w:bidi w:val="0"/>
        <w:spacing w:before="0" w:after="120" w:line="346" w:lineRule="auto"/>
        <w:ind w:left="0" w:right="0" w:firstLine="560"/>
        <w:jc w:val="both"/>
      </w:pPr>
      <w:r>
        <w:rPr>
          <w:rStyle w:val="CharStyle5"/>
        </w:rPr>
        <w:t>Art. 18. A dívida pública corresponde ao montante das obrigações assumidas pelo ente da Federação, representada pela emissão de títulos, operações de crédito e precatórios judiciais.</w:t>
      </w:r>
    </w:p>
    <w:p>
      <w:pPr>
        <w:pStyle w:val="Style4"/>
        <w:keepNext w:val="0"/>
        <w:keepLines w:val="0"/>
        <w:widowControl w:val="0"/>
        <w:shd w:val="clear" w:color="auto" w:fill="auto"/>
        <w:bidi w:val="0"/>
        <w:spacing w:before="0" w:after="560"/>
        <w:ind w:left="0" w:right="0" w:firstLine="560"/>
        <w:jc w:val="both"/>
      </w:pPr>
      <w:r>
        <w:rPr>
          <w:rStyle w:val="CharStyle5"/>
        </w:rPr>
        <w:t xml:space="preserve">Parágrafo único. Para sua elaboração, </w:t>
      </w:r>
      <w:r>
        <w:rPr>
          <w:rStyle w:val="CharStyle5"/>
          <w:lang w:val="pt-BR" w:eastAsia="pt-BR" w:bidi="pt-BR"/>
        </w:rPr>
        <w:t xml:space="preserve">utiliza-se </w:t>
      </w:r>
      <w:r>
        <w:rPr>
          <w:rStyle w:val="CharStyle5"/>
        </w:rPr>
        <w:t xml:space="preserve">a base de dados dos balanços e balancetes, constituída pelos valores apurados nos exercícios anteriores e pela projeção dos valores para os exercícios de </w:t>
      </w:r>
      <w:r>
        <w:rPr>
          <w:rStyle w:val="CharStyle5"/>
          <w:b/>
          <w:bCs/>
        </w:rPr>
        <w:t>2027 e 2028.</w:t>
      </w:r>
    </w:p>
    <w:p>
      <w:pPr>
        <w:pStyle w:val="Style4"/>
        <w:keepNext w:val="0"/>
        <w:keepLines w:val="0"/>
        <w:widowControl w:val="0"/>
        <w:shd w:val="clear" w:color="auto" w:fill="auto"/>
        <w:bidi w:val="0"/>
        <w:spacing w:before="0" w:after="220" w:line="240" w:lineRule="auto"/>
        <w:ind w:left="0" w:right="0" w:firstLine="0"/>
        <w:jc w:val="center"/>
      </w:pPr>
      <w:r>
        <w:rPr>
          <w:rStyle w:val="CharStyle5"/>
        </w:rPr>
        <w:t>CAPÍTULO II</w:t>
      </w:r>
    </w:p>
    <w:p>
      <w:pPr>
        <w:pStyle w:val="Style4"/>
        <w:keepNext w:val="0"/>
        <w:keepLines w:val="0"/>
        <w:widowControl w:val="0"/>
        <w:shd w:val="clear" w:color="auto" w:fill="auto"/>
        <w:bidi w:val="0"/>
        <w:spacing w:before="0" w:after="220" w:line="240" w:lineRule="auto"/>
        <w:ind w:left="0" w:right="0" w:firstLine="0"/>
        <w:jc w:val="center"/>
      </w:pPr>
      <w:r>
        <w:rPr>
          <w:rStyle w:val="CharStyle5"/>
        </w:rPr>
        <w:t>DAS PRIORIDADES DA ADMINISTRAÇÃO MUNICIPAL</w:t>
      </w:r>
    </w:p>
    <w:p>
      <w:pPr>
        <w:pStyle w:val="Style4"/>
        <w:keepNext w:val="0"/>
        <w:keepLines w:val="0"/>
        <w:widowControl w:val="0"/>
        <w:shd w:val="clear" w:color="auto" w:fill="auto"/>
        <w:bidi w:val="0"/>
        <w:spacing w:before="0" w:after="220" w:line="360" w:lineRule="auto"/>
        <w:ind w:left="0" w:right="0" w:firstLine="560"/>
        <w:jc w:val="both"/>
      </w:pPr>
      <w:r>
        <w:rPr>
          <w:rStyle w:val="CharStyle5"/>
        </w:rPr>
        <w:t xml:space="preserve">Ari. 19. As prior idades e meias da Aumiriisú ação Municipal para u exercício financeiro de </w:t>
      </w:r>
      <w:r>
        <w:rPr>
          <w:rStyle w:val="CharStyle5"/>
          <w:b/>
          <w:bCs/>
        </w:rPr>
        <w:t xml:space="preserve">2027 </w:t>
      </w:r>
      <w:r>
        <w:rPr>
          <w:rStyle w:val="CharStyle5"/>
          <w:rFonts w:ascii="Times New Roman" w:eastAsia="Times New Roman" w:hAnsi="Times New Roman" w:cs="Times New Roman"/>
          <w:b/>
          <w:bCs/>
          <w:smallCaps/>
          <w:sz w:val="16"/>
          <w:szCs w:val="16"/>
        </w:rPr>
        <w:t>çpfão</w:t>
      </w:r>
      <w:r>
        <w:rPr>
          <w:rStyle w:val="CharStyle5"/>
        </w:rPr>
        <w:t xml:space="preserve"> definidas </w:t>
      </w:r>
      <w:r>
        <w:rPr>
          <w:rStyle w:val="CharStyle5"/>
          <w:rFonts w:ascii="Times New Roman" w:eastAsia="Times New Roman" w:hAnsi="Times New Roman" w:cs="Times New Roman"/>
          <w:b/>
          <w:bCs/>
          <w:smallCaps/>
          <w:sz w:val="16"/>
          <w:szCs w:val="16"/>
        </w:rPr>
        <w:t>p</w:t>
      </w:r>
      <w:r>
        <w:rPr>
          <w:rStyle w:val="CharStyle5"/>
        </w:rPr>
        <w:t xml:space="preserve"> demonstradas no Plane PlarianuAl de 2326 a 232Q</w:t>
      </w:r>
      <w:r>
        <w:rPr>
          <w:rStyle w:val="CharStyle5"/>
          <w:vertAlign w:val="subscript"/>
        </w:rPr>
        <w:t>Z</w:t>
      </w:r>
      <w:r>
        <w:rPr>
          <w:rStyle w:val="CharStyle5"/>
        </w:rPr>
        <w:t xml:space="preserve"> eemeatíveis pom </w:t>
      </w:r>
      <w:r>
        <w:rPr>
          <w:rStyle w:val="CharStyle5"/>
          <w:lang w:val="pt-BR" w:eastAsia="pt-BR" w:bidi="pt-BR"/>
        </w:rPr>
        <w:t xml:space="preserve">es </w:t>
      </w:r>
      <w:r>
        <w:rPr>
          <w:rStyle w:val="CharStyle5"/>
        </w:rPr>
        <w:t>normas estabelecidas nesta Lei.</w:t>
      </w:r>
    </w:p>
    <w:p>
      <w:pPr>
        <w:widowControl w:val="0"/>
        <w:jc w:val="center"/>
        <w:rPr>
          <w:sz w:val="2"/>
          <w:szCs w:val="2"/>
        </w:rPr>
      </w:pPr>
      <w:r>
        <w:drawing>
          <wp:inline>
            <wp:extent cx="859790" cy="585470"/>
            <wp:docPr id="17" name="Picutre 17"/>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a:stretch/>
                  </pic:blipFill>
                  <pic:spPr>
                    <a:xfrm>
                      <a:ext cx="859790" cy="585470"/>
                    </a:xfrm>
                    <a:prstGeom prst="rect"/>
                  </pic:spPr>
                </pic:pic>
              </a:graphicData>
            </a:graphic>
          </wp:inline>
        </w:drawing>
      </w:r>
    </w:p>
    <w:p>
      <w:pPr>
        <w:widowControl w:val="0"/>
        <w:spacing w:after="199" w:line="1" w:lineRule="exact"/>
      </w:pPr>
    </w:p>
    <w:p>
      <w:pPr>
        <w:pStyle w:val="Style6"/>
        <w:keepNext/>
        <w:keepLines/>
        <w:widowControl w:val="0"/>
        <w:shd w:val="clear" w:color="auto" w:fill="auto"/>
        <w:bidi w:val="0"/>
        <w:spacing w:before="0" w:after="120" w:line="240" w:lineRule="auto"/>
        <w:ind w:left="0" w:right="0" w:firstLine="0"/>
        <w:jc w:val="center"/>
        <w:rPr>
          <w:sz w:val="22"/>
          <w:szCs w:val="22"/>
        </w:rPr>
      </w:pPr>
      <w:bookmarkStart w:id="39" w:name="bookmark39"/>
      <w:r>
        <w:rPr>
          <w:rStyle w:val="CharStyle7"/>
          <w:rFonts w:ascii="Times New Roman" w:eastAsia="Times New Roman" w:hAnsi="Times New Roman" w:cs="Times New Roman"/>
          <w:b/>
          <w:bCs/>
          <w:sz w:val="22"/>
          <w:szCs w:val="22"/>
        </w:rPr>
        <w:t>PREFEITURA MUNICIPAL DE CAREIRO DA VÁRZEA</w:t>
      </w:r>
      <w:bookmarkEnd w:id="39"/>
    </w:p>
    <w:p>
      <w:pPr>
        <w:pStyle w:val="Style9"/>
        <w:keepNext w:val="0"/>
        <w:keepLines w:val="0"/>
        <w:widowControl w:val="0"/>
        <w:shd w:val="clear" w:color="auto" w:fill="auto"/>
        <w:bidi w:val="0"/>
        <w:spacing w:before="0" w:after="300" w:line="240" w:lineRule="auto"/>
        <w:ind w:left="0" w:right="0" w:firstLine="0"/>
        <w:jc w:val="center"/>
      </w:pPr>
      <w:r>
        <w:rPr>
          <w:rStyle w:val="CharStyle10"/>
          <w:b/>
          <w:bCs/>
        </w:rPr>
        <w:t>VADll^EIE 1Z&lt;_/ riVEfLllV</w:t>
      </w:r>
    </w:p>
    <w:p>
      <w:pPr>
        <w:pStyle w:val="Style4"/>
        <w:keepNext w:val="0"/>
        <w:keepLines w:val="0"/>
        <w:widowControl w:val="0"/>
        <w:shd w:val="clear" w:color="auto" w:fill="auto"/>
        <w:bidi w:val="0"/>
        <w:spacing w:before="0" w:after="120" w:line="350" w:lineRule="auto"/>
        <w:ind w:left="0" w:right="0" w:firstLine="560"/>
        <w:jc w:val="both"/>
      </w:pPr>
      <w:r>
        <w:rPr>
          <w:rStyle w:val="CharStyle5"/>
        </w:rPr>
        <w:t>§ 1</w:t>
      </w:r>
      <w:r>
        <w:rPr>
          <w:rStyle w:val="CharStyle5"/>
          <w:vertAlign w:val="superscript"/>
        </w:rPr>
        <w:t>Q</w:t>
      </w:r>
      <w:r>
        <w:rPr>
          <w:rStyle w:val="CharStyle5"/>
        </w:rPr>
        <w:t xml:space="preserve"> Os recursos estimados na Lei </w:t>
      </w:r>
      <w:r>
        <w:rPr>
          <w:rStyle w:val="CharStyle5"/>
          <w:lang w:val="pt-BR" w:eastAsia="pt-BR" w:bidi="pt-BR"/>
        </w:rPr>
        <w:t xml:space="preserve">Orçamentária </w:t>
      </w:r>
      <w:r>
        <w:rPr>
          <w:rStyle w:val="CharStyle5"/>
        </w:rPr>
        <w:t>para 2027 serão destinados, preferencialmente, para as prioridades e metas estabelecidas nos Anexos do Plano Plurianual não se constituindo, todavia em limite à programação das despesas.</w:t>
      </w:r>
    </w:p>
    <w:p>
      <w:pPr>
        <w:pStyle w:val="Style4"/>
        <w:keepNext w:val="0"/>
        <w:keepLines w:val="0"/>
        <w:widowControl w:val="0"/>
        <w:shd w:val="clear" w:color="auto" w:fill="auto"/>
        <w:bidi w:val="0"/>
        <w:spacing w:before="0" w:after="120"/>
        <w:ind w:left="0" w:right="0" w:firstLine="560"/>
        <w:jc w:val="both"/>
      </w:pPr>
      <w:r>
        <w:rPr>
          <w:rStyle w:val="CharStyle5"/>
        </w:rPr>
        <w:t>§ 2</w:t>
      </w:r>
      <w:r>
        <w:rPr>
          <w:rStyle w:val="CharStyle5"/>
          <w:vertAlign w:val="superscript"/>
        </w:rPr>
        <w:t>?</w:t>
      </w:r>
      <w:r>
        <w:rPr>
          <w:rStyle w:val="CharStyle5"/>
        </w:rPr>
        <w:t xml:space="preserve"> Na elaboração da proposta </w:t>
      </w:r>
      <w:r>
        <w:rPr>
          <w:rStyle w:val="CharStyle5"/>
          <w:lang w:val="pt-BR" w:eastAsia="pt-BR" w:bidi="pt-BR"/>
        </w:rPr>
        <w:t xml:space="preserve">orçamentária </w:t>
      </w:r>
      <w:r>
        <w:rPr>
          <w:rStyle w:val="CharStyle5"/>
        </w:rPr>
        <w:t xml:space="preserve">para 2027, o Poder Executivo poderá aumentar ou diminuir as metas físicas estabelecidas nesta Lei, a fim de </w:t>
      </w:r>
      <w:r>
        <w:rPr>
          <w:rStyle w:val="CharStyle5"/>
          <w:lang w:val="pt-BR" w:eastAsia="pt-BR" w:bidi="pt-BR"/>
        </w:rPr>
        <w:t xml:space="preserve">compatibilizar </w:t>
      </w:r>
      <w:r>
        <w:rPr>
          <w:rStyle w:val="CharStyle5"/>
        </w:rPr>
        <w:t>a despesa orçada à receita estimada, de forma a preservar o equilíbrio das contas públicas.</w:t>
      </w:r>
    </w:p>
    <w:p>
      <w:pPr>
        <w:pStyle w:val="Style4"/>
        <w:keepNext w:val="0"/>
        <w:keepLines w:val="0"/>
        <w:widowControl w:val="0"/>
        <w:shd w:val="clear" w:color="auto" w:fill="auto"/>
        <w:bidi w:val="0"/>
        <w:spacing w:before="0" w:after="120" w:line="350" w:lineRule="auto"/>
        <w:ind w:left="0" w:right="0" w:firstLine="560"/>
        <w:jc w:val="both"/>
      </w:pPr>
      <w:r>
        <w:rPr>
          <w:rStyle w:val="CharStyle5"/>
        </w:rPr>
        <w:t>§ 3</w:t>
      </w:r>
      <w:r>
        <w:rPr>
          <w:rStyle w:val="CharStyle5"/>
          <w:vertAlign w:val="superscript"/>
        </w:rPr>
        <w:t>Q</w:t>
      </w:r>
      <w:r>
        <w:rPr>
          <w:rStyle w:val="CharStyle5"/>
        </w:rPr>
        <w:t xml:space="preserve"> Na elaboração da proposta </w:t>
      </w:r>
      <w:r>
        <w:rPr>
          <w:rStyle w:val="CharStyle5"/>
          <w:lang w:val="pt-BR" w:eastAsia="pt-BR" w:bidi="pt-BR"/>
        </w:rPr>
        <w:t xml:space="preserve">orçamentária </w:t>
      </w:r>
      <w:r>
        <w:rPr>
          <w:rStyle w:val="CharStyle5"/>
        </w:rPr>
        <w:t xml:space="preserve">para 2027, será dada como prioridade a utilização de pelo menos </w:t>
      </w:r>
      <w:r>
        <w:rPr>
          <w:rStyle w:val="CharStyle5"/>
          <w:b/>
          <w:bCs/>
        </w:rPr>
        <w:t xml:space="preserve">3% (três por cento) </w:t>
      </w:r>
      <w:r>
        <w:rPr>
          <w:rStyle w:val="CharStyle5"/>
        </w:rPr>
        <w:t>da Receita Corrente Líquida do ano imediatamente anterior, com ações do Sistema Único de Assistência Social (SUAS).</w:t>
      </w:r>
    </w:p>
    <w:p>
      <w:pPr>
        <w:pStyle w:val="Style4"/>
        <w:keepNext w:val="0"/>
        <w:keepLines w:val="0"/>
        <w:widowControl w:val="0"/>
        <w:shd w:val="clear" w:color="auto" w:fill="auto"/>
        <w:bidi w:val="0"/>
        <w:spacing w:before="0" w:after="560"/>
        <w:ind w:left="0" w:right="0" w:firstLine="560"/>
        <w:jc w:val="both"/>
      </w:pPr>
      <w:r>
        <w:rPr>
          <w:rStyle w:val="CharStyle5"/>
        </w:rPr>
        <w:t xml:space="preserve">§4-0 Poder Público terá como prioridade a elevação da qualidade de vida, Gestão democrática e eficiente. Educação inclusiva e equitativa. Atenção integral à saúde, à Proteção social, os direitos humanos, o gênero e cidadania, à infância e juventude, à cultura e a arte, o esporte e lazer, o desenvolvimento territorial urbano/rural e proteção do meio ambiente, à infraestrutura de espaços de convivência, à qualidade de vida e oportunidades, o desenvolvimento </w:t>
      </w:r>
      <w:r>
        <w:rPr>
          <w:rStyle w:val="CharStyle5"/>
          <w:lang w:val="pt-BR" w:eastAsia="pt-BR" w:bidi="pt-BR"/>
        </w:rPr>
        <w:t xml:space="preserve">econômico </w:t>
      </w:r>
      <w:r>
        <w:rPr>
          <w:rStyle w:val="CharStyle5"/>
        </w:rPr>
        <w:t>com ênfase nas dimensões do trabalho, emprego e renda, bem como a segurança pública e cidadania.</w:t>
      </w:r>
    </w:p>
    <w:p>
      <w:pPr>
        <w:pStyle w:val="Style4"/>
        <w:keepNext w:val="0"/>
        <w:keepLines w:val="0"/>
        <w:widowControl w:val="0"/>
        <w:shd w:val="clear" w:color="auto" w:fill="auto"/>
        <w:bidi w:val="0"/>
        <w:spacing w:before="0" w:after="200" w:line="240" w:lineRule="auto"/>
        <w:ind w:left="0" w:right="0" w:firstLine="0"/>
        <w:jc w:val="center"/>
      </w:pPr>
      <w:r>
        <w:rPr>
          <w:rStyle w:val="CharStyle5"/>
        </w:rPr>
        <w:t xml:space="preserve">CAPÍTULO </w:t>
      </w:r>
      <w:r>
        <w:rPr>
          <w:rStyle w:val="CharStyle5"/>
          <w:lang w:val="pt-BR" w:eastAsia="pt-BR" w:bidi="pt-BR"/>
        </w:rPr>
        <w:t>III</w:t>
      </w:r>
    </w:p>
    <w:p>
      <w:pPr>
        <w:pStyle w:val="Style4"/>
        <w:keepNext w:val="0"/>
        <w:keepLines w:val="0"/>
        <w:widowControl w:val="0"/>
        <w:shd w:val="clear" w:color="auto" w:fill="auto"/>
        <w:bidi w:val="0"/>
        <w:spacing w:before="0" w:after="200" w:line="240" w:lineRule="auto"/>
        <w:ind w:left="0" w:right="0" w:firstLine="0"/>
        <w:jc w:val="center"/>
      </w:pPr>
      <w:r>
        <w:rPr>
          <w:rStyle w:val="CharStyle5"/>
        </w:rPr>
        <w:t>DA ESTRUTURA DOS ORÇAMENTOS</w:t>
      </w:r>
    </w:p>
    <w:p>
      <w:pPr>
        <w:pStyle w:val="Style4"/>
        <w:keepNext w:val="0"/>
        <w:keepLines w:val="0"/>
        <w:widowControl w:val="0"/>
        <w:shd w:val="clear" w:color="auto" w:fill="auto"/>
        <w:bidi w:val="0"/>
        <w:spacing w:before="0" w:after="120"/>
        <w:ind w:left="0" w:right="0" w:firstLine="560"/>
        <w:jc w:val="both"/>
      </w:pPr>
      <w:r>
        <w:rPr>
          <w:rStyle w:val="CharStyle5"/>
        </w:rPr>
        <w:t xml:space="preserve">Ari. 20. G orçamento pai d o exercício Financeiro ue </w:t>
      </w:r>
      <w:r>
        <w:rPr>
          <w:rStyle w:val="CharStyle5"/>
          <w:b/>
          <w:bCs/>
        </w:rPr>
        <w:t xml:space="preserve">2027 </w:t>
      </w:r>
      <w:r>
        <w:rPr>
          <w:rStyle w:val="CharStyle5"/>
        </w:rPr>
        <w:t xml:space="preserve">abrangera os Poderei </w:t>
      </w:r>
      <w:r>
        <w:rPr>
          <w:rStyle w:val="CharStyle5"/>
          <w:lang w:val="pt-BR" w:eastAsia="pt-BR" w:bidi="pt-BR"/>
        </w:rPr>
        <w:t xml:space="preserve">Legislativo </w:t>
      </w:r>
      <w:r>
        <w:rPr>
          <w:rStyle w:val="CharStyle5"/>
        </w:rPr>
        <w:t>e Executivo, Fundações, Fundos, Empresas Públicas e outras entidades que recebam recursos do Tesouro e da Seguridade Social, e será estruturado em conformidade com a estrutura organizacional estabelecida em cada entidade da Administração Municipal.</w:t>
      </w:r>
    </w:p>
    <w:p>
      <w:pPr>
        <w:pStyle w:val="Style4"/>
        <w:keepNext w:val="0"/>
        <w:keepLines w:val="0"/>
        <w:widowControl w:val="0"/>
        <w:shd w:val="clear" w:color="auto" w:fill="auto"/>
        <w:tabs>
          <w:tab w:pos="1390" w:val="left"/>
          <w:tab w:pos="3182" w:val="left"/>
          <w:tab w:pos="5450" w:val="left"/>
          <w:tab w:pos="8568" w:val="left"/>
        </w:tabs>
        <w:bidi w:val="0"/>
        <w:spacing w:before="0" w:after="0" w:line="374" w:lineRule="auto"/>
        <w:ind w:left="0" w:right="0" w:firstLine="560"/>
        <w:jc w:val="both"/>
        <w:rPr>
          <w:sz w:val="12"/>
          <w:szCs w:val="12"/>
        </w:rPr>
      </w:pPr>
      <w:r>
        <w:rPr>
          <w:rStyle w:val="CharStyle5"/>
        </w:rPr>
        <w:t xml:space="preserve">Art. 21. A Lei Orçamentaria para 2027 evidenciara as receitas e despesas de cada uma das Unidades Gestoras, especificando os vínculos com Fundos, Autarquias e os Orçamentos Fiscal e da Seguridade Social, desdobrando as despesas por função, subfunção, programa, projeto, atividade ou operações especiais e, quanto à sua natureza, por categoria </w:t>
      </w:r>
      <w:r>
        <w:rPr>
          <w:rStyle w:val="CharStyle5"/>
          <w:lang w:val="pt-BR" w:eastAsia="pt-BR" w:bidi="pt-BR"/>
        </w:rPr>
        <w:t xml:space="preserve">econômica, </w:t>
      </w:r>
      <w:r>
        <w:rPr>
          <w:rStyle w:val="CharStyle5"/>
        </w:rPr>
        <w:t xml:space="preserve">grupo de natureza da despesa </w:t>
      </w:r>
      <w:r>
        <w:rPr>
          <w:rStyle w:val="CharStyle5"/>
          <w:b/>
          <w:bCs/>
          <w:i/>
          <w:iCs/>
          <w:sz w:val="9"/>
          <w:szCs w:val="9"/>
        </w:rPr>
        <w:t>n</w:t>
      </w:r>
      <w:r>
        <w:rPr>
          <w:rStyle w:val="CharStyle5"/>
          <w:b/>
          <w:bCs/>
          <w:sz w:val="12"/>
          <w:szCs w:val="12"/>
        </w:rPr>
        <w:tab/>
        <w:t>rJ/i -»I i r-r--í ri</w:t>
        <w:tab/>
        <w:t xml:space="preserve">Am </w:t>
      </w:r>
      <w:r>
        <w:rPr>
          <w:rStyle w:val="CharStyle5"/>
          <w:b/>
          <w:bCs/>
          <w:i/>
          <w:iCs/>
          <w:sz w:val="9"/>
          <w:szCs w:val="9"/>
        </w:rPr>
        <w:t>rr\</w:t>
      </w:r>
      <w:r>
        <w:rPr>
          <w:rStyle w:val="CharStyle5"/>
          <w:b/>
          <w:bCs/>
          <w:sz w:val="12"/>
          <w:szCs w:val="12"/>
        </w:rPr>
        <w:t xml:space="preserve"> ní </w:t>
      </w:r>
      <w:r>
        <w:rPr>
          <w:rStyle w:val="CharStyle5"/>
          <w:b/>
          <w:bCs/>
          <w:i/>
          <w:iCs/>
          <w:sz w:val="9"/>
          <w:szCs w:val="9"/>
        </w:rPr>
        <w:t>rw</w:t>
      </w:r>
      <w:r>
        <w:rPr>
          <w:rStyle w:val="CharStyle5"/>
          <w:b/>
          <w:bCs/>
          <w:sz w:val="12"/>
          <w:szCs w:val="12"/>
        </w:rPr>
        <w:t xml:space="preserve"> rn i -»</w:t>
        <w:tab/>
        <w:t>-&gt; r Dnr+nri-)r CHC/CTM rtO /! □</w:t>
        <w:tab/>
        <w:t xml:space="preserve">1 OOO </w:t>
      </w:r>
      <w:r>
        <w:rPr>
          <w:rStyle w:val="CharStyle5"/>
          <w:b/>
          <w:bCs/>
          <w:smallCaps/>
          <w:sz w:val="9"/>
          <w:szCs w:val="9"/>
        </w:rPr>
        <w:t>/-» faO</w:t>
      </w:r>
      <w:r>
        <w:rPr>
          <w:rStyle w:val="CharStyle5"/>
          <w:b/>
          <w:bCs/>
          <w:sz w:val="12"/>
          <w:szCs w:val="12"/>
        </w:rPr>
        <w:t xml:space="preserve"> 1</w:t>
      </w:r>
    </w:p>
    <w:p>
      <w:pPr>
        <w:pStyle w:val="Style21"/>
        <w:keepNext w:val="0"/>
        <w:keepLines w:val="0"/>
        <w:widowControl w:val="0"/>
        <w:shd w:val="clear" w:color="auto" w:fill="auto"/>
        <w:tabs>
          <w:tab w:pos="2700" w:val="left"/>
          <w:tab w:pos="3830" w:val="left"/>
          <w:tab w:pos="8093" w:val="left"/>
          <w:tab w:pos="9043" w:val="left"/>
        </w:tabs>
        <w:bidi w:val="0"/>
        <w:spacing w:before="0" w:after="120" w:line="180" w:lineRule="auto"/>
        <w:ind w:left="0" w:right="0" w:firstLine="0"/>
        <w:jc w:val="both"/>
        <w:rPr>
          <w:sz w:val="12"/>
          <w:szCs w:val="12"/>
        </w:rPr>
      </w:pPr>
      <w:r>
        <w:rPr>
          <w:rStyle w:val="CharStyle22"/>
          <w:b/>
          <w:bCs/>
          <w:sz w:val="12"/>
          <w:szCs w:val="12"/>
        </w:rPr>
        <w:t>V.</w:t>
        <w:tab/>
        <w:t>VMMV K- » I •</w:t>
        <w:tab/>
        <w:t>H VI IMIVUMV VW» » I MV i V I ^Ul IU J W I / V I t » • •</w:t>
        <w:tab/>
      </w:r>
      <w:r>
        <w:rPr>
          <w:rStyle w:val="CharStyle22"/>
          <w:b/>
          <w:bCs/>
          <w:sz w:val="12"/>
          <w:szCs w:val="12"/>
          <w:vertAlign w:val="subscript"/>
        </w:rPr>
        <w:t>f</w:t>
      </w:r>
      <w:r>
        <w:rPr>
          <w:rStyle w:val="CharStyle22"/>
          <w:b/>
          <w:bCs/>
          <w:sz w:val="12"/>
          <w:szCs w:val="12"/>
        </w:rPr>
        <w:t xml:space="preserve"> MS-</w:t>
        <w:tab/>
      </w:r>
      <w:r>
        <w:rPr>
          <w:rStyle w:val="CharStyle22"/>
          <w:b/>
          <w:bCs/>
          <w:sz w:val="12"/>
          <w:szCs w:val="12"/>
          <w:vertAlign w:val="subscript"/>
        </w:rPr>
        <w:t>f</w:t>
      </w:r>
      <w:r>
        <w:rPr>
          <w:rStyle w:val="CharStyle22"/>
          <w:b/>
          <w:bCs/>
          <w:sz w:val="12"/>
          <w:szCs w:val="12"/>
        </w:rPr>
        <w:t xml:space="preserve"> S- * « ~</w:t>
      </w:r>
    </w:p>
    <w:p>
      <w:pPr>
        <w:pStyle w:val="Style4"/>
        <w:keepNext w:val="0"/>
        <w:keepLines w:val="0"/>
        <w:widowControl w:val="0"/>
        <w:shd w:val="clear" w:color="auto" w:fill="auto"/>
        <w:bidi w:val="0"/>
        <w:spacing w:before="0" w:after="120"/>
        <w:ind w:left="0" w:right="0" w:firstLine="0"/>
        <w:jc w:val="both"/>
      </w:pPr>
      <w:r>
        <w:rPr>
          <w:rStyle w:val="CharStyle5"/>
        </w:rPr>
        <w:t>de 2001, e alterações posteriores, devendo conter os anexos exigidos nas Portarias da Secretaria do Tesouro Nacional (STN).</w:t>
      </w:r>
    </w:p>
    <w:p>
      <w:pPr>
        <w:pStyle w:val="Style4"/>
        <w:keepNext w:val="0"/>
        <w:keepLines w:val="0"/>
        <w:widowControl w:val="0"/>
        <w:shd w:val="clear" w:color="auto" w:fill="auto"/>
        <w:bidi w:val="0"/>
        <w:spacing w:before="0" w:after="560" w:line="350" w:lineRule="auto"/>
        <w:ind w:left="0" w:right="0" w:firstLine="560"/>
        <w:jc w:val="both"/>
      </w:pPr>
      <w:r>
        <w:rPr>
          <w:rStyle w:val="CharStyle5"/>
        </w:rPr>
        <w:t xml:space="preserve">Art. 22. A Mensagem de Encaminhamento da Proposta </w:t>
      </w:r>
      <w:r>
        <w:rPr>
          <w:rStyle w:val="CharStyle5"/>
          <w:lang w:val="pt-BR" w:eastAsia="pt-BR" w:bidi="pt-BR"/>
        </w:rPr>
        <w:t xml:space="preserve">Orçamentária, </w:t>
      </w:r>
      <w:r>
        <w:rPr>
          <w:rStyle w:val="CharStyle5"/>
        </w:rPr>
        <w:t xml:space="preserve">de que trata o art. 22, </w:t>
      </w:r>
      <w:r>
        <w:rPr>
          <w:rStyle w:val="CharStyle5"/>
          <w:b/>
          <w:bCs/>
          <w:lang w:val="pt-BR" w:eastAsia="pt-BR" w:bidi="pt-BR"/>
        </w:rPr>
        <w:t xml:space="preserve">paragíãiü </w:t>
      </w:r>
      <w:r>
        <w:rPr>
          <w:rStyle w:val="CharStyle5"/>
        </w:rPr>
        <w:t xml:space="preserve">unico, inciso í, ua Lei n- 4.320, uê 17 uê rriarço uê 1364, conterá </w:t>
      </w:r>
      <w:r>
        <w:rPr>
          <w:rStyle w:val="CharStyle5"/>
          <w:lang w:val="pt-BR" w:eastAsia="pt-BR" w:bidi="pt-BR"/>
        </w:rPr>
        <w:t xml:space="preserve">tüuüs </w:t>
      </w:r>
      <w:r>
        <w:rPr>
          <w:rStyle w:val="CharStyle5"/>
        </w:rPr>
        <w:t>os anexos exigioos na legislação pertinente.</w:t>
      </w:r>
    </w:p>
    <w:p>
      <w:pPr>
        <w:pStyle w:val="Style4"/>
        <w:keepNext w:val="0"/>
        <w:keepLines w:val="0"/>
        <w:widowControl w:val="0"/>
        <w:shd w:val="clear" w:color="auto" w:fill="auto"/>
        <w:bidi w:val="0"/>
        <w:spacing w:before="0" w:after="200" w:line="240" w:lineRule="auto"/>
        <w:ind w:left="0" w:right="0" w:firstLine="0"/>
        <w:jc w:val="center"/>
      </w:pPr>
      <w:r>
        <w:rPr>
          <w:rStyle w:val="CharStyle5"/>
        </w:rPr>
        <w:t>CAPÍTULO IV</w:t>
      </w:r>
    </w:p>
    <w:p>
      <w:pPr>
        <w:pStyle w:val="Style4"/>
        <w:keepNext w:val="0"/>
        <w:keepLines w:val="0"/>
        <w:widowControl w:val="0"/>
        <w:shd w:val="clear" w:color="auto" w:fill="auto"/>
        <w:bidi w:val="0"/>
        <w:spacing w:before="0" w:after="200" w:line="240" w:lineRule="auto"/>
        <w:ind w:left="0" w:right="0" w:firstLine="0"/>
        <w:jc w:val="center"/>
      </w:pPr>
      <w:r>
        <w:rPr>
          <w:rStyle w:val="CharStyle5"/>
        </w:rPr>
        <w:t>DAS DIRETRIZES PARA A ELABORAÇÃO E EXECUÇÃO DO ORÇAMENTO DO MUNICÍPIO</w:t>
      </w:r>
    </w:p>
    <w:p>
      <w:pPr>
        <w:pStyle w:val="Style4"/>
        <w:keepNext w:val="0"/>
        <w:keepLines w:val="0"/>
        <w:widowControl w:val="0"/>
        <w:shd w:val="clear" w:color="auto" w:fill="auto"/>
        <w:bidi w:val="0"/>
        <w:spacing w:before="0" w:after="200"/>
        <w:ind w:left="0" w:right="0" w:firstLine="560"/>
        <w:jc w:val="both"/>
      </w:pPr>
      <w:r>
        <w:rPr>
          <w:rStyle w:val="CharStyle5"/>
        </w:rPr>
        <w:t xml:space="preserve">Art. 23. O Orçamento para o exercício de </w:t>
      </w:r>
      <w:r>
        <w:rPr>
          <w:rStyle w:val="CharStyle5"/>
          <w:b/>
          <w:bCs/>
        </w:rPr>
        <w:t xml:space="preserve">2027 </w:t>
      </w:r>
      <w:r>
        <w:rPr>
          <w:rStyle w:val="CharStyle5"/>
        </w:rPr>
        <w:t>obedecerá, entre outros, ao princípio da transparência e do equilíbrio entre receitas e despesas, abrangendo os Poderes Legislativo e Executivo,</w:t>
      </w:r>
    </w:p>
    <w:p>
      <w:pPr>
        <w:widowControl w:val="0"/>
        <w:jc w:val="center"/>
        <w:rPr>
          <w:sz w:val="2"/>
          <w:szCs w:val="2"/>
        </w:rPr>
      </w:pPr>
      <w:r>
        <w:drawing>
          <wp:inline>
            <wp:extent cx="853440" cy="58547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a:stretch/>
                  </pic:blipFill>
                  <pic:spPr>
                    <a:xfrm>
                      <a:ext cx="853440" cy="585470"/>
                    </a:xfrm>
                    <a:prstGeom prst="rect"/>
                  </pic:spPr>
                </pic:pic>
              </a:graphicData>
            </a:graphic>
          </wp:inline>
        </w:drawing>
      </w:r>
    </w:p>
    <w:p>
      <w:pPr>
        <w:widowControl w:val="0"/>
        <w:spacing w:after="159" w:line="1" w:lineRule="exact"/>
      </w:pPr>
    </w:p>
    <w:p>
      <w:pPr>
        <w:pStyle w:val="Style6"/>
        <w:keepNext/>
        <w:keepLines/>
        <w:widowControl w:val="0"/>
        <w:shd w:val="clear" w:color="auto" w:fill="auto"/>
        <w:bidi w:val="0"/>
        <w:spacing w:before="0" w:after="100" w:line="240" w:lineRule="auto"/>
        <w:ind w:left="0" w:right="0" w:firstLine="0"/>
        <w:jc w:val="center"/>
        <w:rPr>
          <w:sz w:val="22"/>
          <w:szCs w:val="22"/>
        </w:rPr>
      </w:pPr>
      <w:bookmarkStart w:id="41" w:name="bookmark41"/>
      <w:r>
        <w:rPr>
          <w:rStyle w:val="CharStyle7"/>
          <w:rFonts w:ascii="Times New Roman" w:eastAsia="Times New Roman" w:hAnsi="Times New Roman" w:cs="Times New Roman"/>
          <w:b/>
          <w:bCs/>
          <w:sz w:val="22"/>
          <w:szCs w:val="22"/>
        </w:rPr>
        <w:t>PREFEITURA MUNICIPAL DE CAREIRO DA VÁRZEA</w:t>
      </w:r>
      <w:bookmarkEnd w:id="41"/>
    </w:p>
    <w:p>
      <w:pPr>
        <w:pStyle w:val="Style9"/>
        <w:keepNext w:val="0"/>
        <w:keepLines w:val="0"/>
        <w:widowControl w:val="0"/>
        <w:shd w:val="clear" w:color="auto" w:fill="auto"/>
        <w:bidi w:val="0"/>
        <w:spacing w:before="0" w:line="240" w:lineRule="auto"/>
        <w:ind w:left="0" w:right="0" w:firstLine="0"/>
        <w:jc w:val="center"/>
      </w:pPr>
      <w:r>
        <w:rPr>
          <w:rStyle w:val="CharStyle10"/>
          <w:b/>
          <w:bCs/>
        </w:rPr>
        <w:t xml:space="preserve">í tL .MW 1 IX1L1’ </w:t>
      </w:r>
      <w:r>
        <w:rPr>
          <w:rStyle w:val="CharStyle10"/>
          <w:b/>
          <w:bCs/>
          <w:lang w:val="pt-BR" w:eastAsia="pt-BR" w:bidi="pt-BR"/>
        </w:rPr>
        <w:t xml:space="preserve">El </w:t>
      </w:r>
      <w:r>
        <w:rPr>
          <w:rStyle w:val="CharStyle10"/>
          <w:b/>
          <w:bCs/>
        </w:rPr>
        <w:t>IV/</w:t>
      </w:r>
    </w:p>
    <w:p>
      <w:pPr>
        <w:pStyle w:val="Style4"/>
        <w:keepNext w:val="0"/>
        <w:keepLines w:val="0"/>
        <w:widowControl w:val="0"/>
        <w:shd w:val="clear" w:color="auto" w:fill="auto"/>
        <w:tabs>
          <w:tab w:pos="3161" w:val="left"/>
        </w:tabs>
        <w:bidi w:val="0"/>
        <w:spacing w:before="0" w:line="346" w:lineRule="auto"/>
        <w:ind w:left="0" w:right="0" w:firstLine="0"/>
        <w:jc w:val="both"/>
      </w:pPr>
      <w:r>
        <w:rPr>
          <w:rStyle w:val="CharStyle5"/>
        </w:rPr>
        <w:t>Fundações, Fundos, Empresas Públicas e outras entidades que recebam recursos do Tesouro e da Seguridade Social (arts. 19, §</w:t>
        <w:tab/>
        <w:t>42, inciso I, alínea "a", e 48 da LRF).</w:t>
      </w:r>
    </w:p>
    <w:p>
      <w:pPr>
        <w:pStyle w:val="Style4"/>
        <w:keepNext w:val="0"/>
        <w:keepLines w:val="0"/>
        <w:widowControl w:val="0"/>
        <w:shd w:val="clear" w:color="auto" w:fill="auto"/>
        <w:bidi w:val="0"/>
        <w:spacing w:before="0" w:line="350" w:lineRule="auto"/>
        <w:ind w:left="0" w:right="0" w:firstLine="580"/>
        <w:jc w:val="both"/>
      </w:pPr>
      <w:r>
        <w:rPr>
          <w:rStyle w:val="CharStyle5"/>
        </w:rPr>
        <w:t xml:space="preserve">Art. 24. Os estudos para definição dos Orçamentos da Receita para </w:t>
      </w:r>
      <w:r>
        <w:rPr>
          <w:rStyle w:val="CharStyle5"/>
          <w:b/>
          <w:bCs/>
        </w:rPr>
        <w:t xml:space="preserve">2027 </w:t>
      </w:r>
      <w:r>
        <w:rPr>
          <w:rStyle w:val="CharStyle5"/>
        </w:rPr>
        <w:t xml:space="preserve">deverão observar os efeitos da alteração da legislação tributária, dos incentivos fiscais autorizados, da inflação do período, do crescimento </w:t>
      </w:r>
      <w:r>
        <w:rPr>
          <w:rStyle w:val="CharStyle5"/>
          <w:lang w:val="pt-BR" w:eastAsia="pt-BR" w:bidi="pt-BR"/>
        </w:rPr>
        <w:t xml:space="preserve">econômico, </w:t>
      </w:r>
      <w:r>
        <w:rPr>
          <w:rStyle w:val="CharStyle5"/>
        </w:rPr>
        <w:t>da ampliação da base de cálculo dos tributos, de sua evolução nos últimos três exercícios e da projeção para os dois seguintes (art. 12 da LRF).</w:t>
      </w:r>
    </w:p>
    <w:p>
      <w:pPr>
        <w:pStyle w:val="Style4"/>
        <w:keepNext w:val="0"/>
        <w:keepLines w:val="0"/>
        <w:widowControl w:val="0"/>
        <w:shd w:val="clear" w:color="auto" w:fill="auto"/>
        <w:bidi w:val="0"/>
        <w:spacing w:before="0" w:line="350" w:lineRule="auto"/>
        <w:ind w:left="0" w:right="0" w:firstLine="580"/>
        <w:jc w:val="both"/>
      </w:pPr>
      <w:r>
        <w:rPr>
          <w:rStyle w:val="CharStyle5"/>
        </w:rPr>
        <w:t xml:space="preserve">Parágrafo único. Até </w:t>
      </w:r>
      <w:r>
        <w:rPr>
          <w:rStyle w:val="CharStyle5"/>
          <w:b/>
          <w:bCs/>
        </w:rPr>
        <w:t xml:space="preserve">30 (trinta) </w:t>
      </w:r>
      <w:r>
        <w:rPr>
          <w:rStyle w:val="CharStyle5"/>
        </w:rPr>
        <w:t xml:space="preserve">dias antes do prazo para encaminhamento da Proposta </w:t>
      </w:r>
      <w:r>
        <w:rPr>
          <w:rStyle w:val="CharStyle5"/>
          <w:lang w:val="pt-BR" w:eastAsia="pt-BR" w:bidi="pt-BR"/>
        </w:rPr>
        <w:t xml:space="preserve">Orçamentária </w:t>
      </w:r>
      <w:r>
        <w:rPr>
          <w:rStyle w:val="CharStyle5"/>
        </w:rPr>
        <w:t xml:space="preserve">ao Poder Legislativo, o Poder Executivo Municipal colocará à disposição da Câmara Municipal e do Ministério Público os estudos e as estimativas </w:t>
      </w:r>
      <w:r>
        <w:rPr>
          <w:rStyle w:val="CharStyle5"/>
          <w:b/>
          <w:bCs/>
        </w:rPr>
        <w:t xml:space="preserve">de receitas </w:t>
      </w:r>
      <w:r>
        <w:rPr>
          <w:rStyle w:val="CharStyle5"/>
        </w:rPr>
        <w:t xml:space="preserve">para os exercícios subsequentes e as </w:t>
      </w:r>
      <w:r>
        <w:rPr>
          <w:rStyle w:val="CharStyle5"/>
          <w:lang w:val="pt-BR" w:eastAsia="pt-BR" w:bidi="pt-BR"/>
        </w:rPr>
        <w:t xml:space="preserve">respectivas </w:t>
      </w:r>
      <w:r>
        <w:rPr>
          <w:rStyle w:val="CharStyle5"/>
        </w:rPr>
        <w:t>memórias de cálculo (art. 12, § 3</w:t>
      </w:r>
      <w:r>
        <w:rPr>
          <w:rStyle w:val="CharStyle5"/>
          <w:vertAlign w:val="superscript"/>
        </w:rPr>
        <w:t>2</w:t>
      </w:r>
      <w:r>
        <w:rPr>
          <w:rStyle w:val="CharStyle5"/>
        </w:rPr>
        <w:t>, da LRF).</w:t>
      </w:r>
    </w:p>
    <w:p>
      <w:pPr>
        <w:pStyle w:val="Style4"/>
        <w:keepNext w:val="0"/>
        <w:keepLines w:val="0"/>
        <w:widowControl w:val="0"/>
        <w:shd w:val="clear" w:color="auto" w:fill="auto"/>
        <w:bidi w:val="0"/>
        <w:spacing w:before="0"/>
        <w:ind w:left="0" w:right="0" w:firstLine="580"/>
        <w:jc w:val="both"/>
      </w:pPr>
      <w:r>
        <w:rPr>
          <w:rStyle w:val="CharStyle5"/>
        </w:rPr>
        <w:t xml:space="preserve">Art. 25. Na execução do orçamento, verificado que o comportamento da receita poderá afetar o cumprimento das metas de resultado primário e nominal, os Poderes Legislativo e Executivo, de forma proporcional </w:t>
      </w:r>
      <w:r>
        <w:rPr>
          <w:rStyle w:val="CharStyle5"/>
          <w:lang w:val="pt-BR" w:eastAsia="pt-BR" w:bidi="pt-BR"/>
        </w:rPr>
        <w:t xml:space="preserve">às </w:t>
      </w:r>
      <w:r>
        <w:rPr>
          <w:rStyle w:val="CharStyle5"/>
        </w:rPr>
        <w:t>suas dotações e observadas a fonte de recursos, adotarão o mecanismo de limitação de empenho e de movimentação financeira, nos montantes necessários, para as dotações abaixo (art. 9</w:t>
      </w:r>
      <w:r>
        <w:rPr>
          <w:rStyle w:val="CharStyle5"/>
          <w:vertAlign w:val="superscript"/>
        </w:rPr>
        <w:t xml:space="preserve">9 </w:t>
      </w:r>
      <w:r>
        <w:rPr>
          <w:rStyle w:val="CharStyle5"/>
        </w:rPr>
        <w:t>da LRF):</w:t>
      </w:r>
    </w:p>
    <w:p>
      <w:pPr>
        <w:pStyle w:val="Style4"/>
        <w:keepNext w:val="0"/>
        <w:keepLines w:val="0"/>
        <w:widowControl w:val="0"/>
        <w:shd w:val="clear" w:color="auto" w:fill="auto"/>
        <w:bidi w:val="0"/>
        <w:spacing w:before="0" w:after="220" w:line="240" w:lineRule="auto"/>
        <w:ind w:left="0" w:right="0" w:firstLine="560"/>
        <w:jc w:val="both"/>
      </w:pPr>
      <w:r>
        <w:rPr>
          <w:rStyle w:val="CharStyle5"/>
          <w:lang w:val="pt-BR" w:eastAsia="pt-BR" w:bidi="pt-BR"/>
        </w:rPr>
        <w:t xml:space="preserve">I - </w:t>
      </w:r>
      <w:r>
        <w:rPr>
          <w:rStyle w:val="CharStyle5"/>
        </w:rPr>
        <w:t>projetos ou atividades vinculadas a recursos oriundos de transferências voluntárias;</w:t>
      </w:r>
    </w:p>
    <w:p>
      <w:pPr>
        <w:pStyle w:val="Style4"/>
        <w:keepNext w:val="0"/>
        <w:keepLines w:val="0"/>
        <w:widowControl w:val="0"/>
        <w:shd w:val="clear" w:color="auto" w:fill="auto"/>
        <w:bidi w:val="0"/>
        <w:spacing w:before="0" w:after="220" w:line="240" w:lineRule="auto"/>
        <w:ind w:left="0" w:right="0" w:firstLine="560"/>
        <w:jc w:val="both"/>
      </w:pPr>
      <w:r>
        <w:rPr>
          <w:rStyle w:val="CharStyle5"/>
        </w:rPr>
        <w:t>II - obras em geral, desde que ainda não iniciadas;</w:t>
      </w:r>
    </w:p>
    <w:p>
      <w:pPr>
        <w:pStyle w:val="Style4"/>
        <w:keepNext w:val="0"/>
        <w:keepLines w:val="0"/>
        <w:widowControl w:val="0"/>
        <w:shd w:val="clear" w:color="auto" w:fill="auto"/>
        <w:bidi w:val="0"/>
        <w:spacing w:before="0" w:after="220" w:line="240" w:lineRule="auto"/>
        <w:ind w:left="0" w:right="0" w:firstLine="560"/>
        <w:jc w:val="both"/>
      </w:pPr>
      <w:r>
        <w:rPr>
          <w:rStyle w:val="CharStyle5"/>
        </w:rPr>
        <w:t>III - dotação para combustíveis, serviços públicos e agricultura; e</w:t>
      </w:r>
    </w:p>
    <w:p>
      <w:pPr>
        <w:pStyle w:val="Style2"/>
        <w:keepNext w:val="0"/>
        <w:keepLines w:val="0"/>
        <w:widowControl w:val="0"/>
        <w:shd w:val="clear" w:color="auto" w:fill="auto"/>
        <w:tabs>
          <w:tab w:pos="1057" w:val="left"/>
          <w:tab w:pos="4383" w:val="left"/>
        </w:tabs>
        <w:bidi w:val="0"/>
        <w:spacing w:before="0" w:after="0" w:line="240" w:lineRule="auto"/>
        <w:ind w:left="0" w:right="0"/>
        <w:jc w:val="both"/>
      </w:pPr>
      <w:r>
        <w:rPr>
          <w:rStyle w:val="CharStyle3"/>
          <w:b/>
          <w:bCs/>
        </w:rPr>
        <w:t>l\/</w:t>
        <w:tab/>
        <w:t xml:space="preserve">z&gt;4- -» ? yx rv -x </w:t>
      </w:r>
      <w:r>
        <w:rPr>
          <w:rStyle w:val="CharStyle3"/>
          <w:b/>
          <w:bCs/>
          <w:i/>
          <w:iCs/>
        </w:rPr>
        <w:t>r</w:t>
      </w:r>
      <w:r>
        <w:rPr>
          <w:rStyle w:val="CharStyle3"/>
          <w:b/>
          <w:bCs/>
        </w:rPr>
        <w:t xml:space="preserve"> -x r-vx -x4-zx ■*í I zJ zx</w:t>
        <w:tab/>
        <w:t xml:space="preserve">zx /xi«4zixr r*zx **» • i z* zxz zJzx 4/x </w:t>
      </w:r>
      <w:r>
        <w:rPr>
          <w:rStyle w:val="CharStyle3"/>
          <w:b/>
          <w:bCs/>
          <w:smallCaps/>
        </w:rPr>
        <w:t>zza</w:t>
      </w:r>
      <w:r>
        <w:rPr>
          <w:rStyle w:val="CharStyle3"/>
          <w:b/>
          <w:bCs/>
        </w:rPr>
        <w:t xml:space="preserve"> i z </w:t>
      </w:r>
      <w:r>
        <w:rPr>
          <w:rStyle w:val="CharStyle3"/>
          <w:b/>
          <w:bCs/>
          <w:smallCaps/>
          <w:lang w:val="pt-BR" w:eastAsia="pt-BR" w:bidi="pt-BR"/>
        </w:rPr>
        <w:t xml:space="preserve">ac </w:t>
      </w:r>
      <w:r>
        <w:rPr>
          <w:rStyle w:val="CharStyle3"/>
          <w:b/>
          <w:bCs/>
          <w:smallCaps/>
        </w:rPr>
        <w:t>z4</w:t>
      </w:r>
      <w:r>
        <w:rPr>
          <w:rStyle w:val="CharStyle3"/>
          <w:b/>
          <w:bCs/>
          <w:smallCaps/>
          <w:lang w:val="pt-BR" w:eastAsia="pt-BR" w:bidi="pt-BR"/>
        </w:rPr>
        <w:t xml:space="preserve">-a </w:t>
      </w:r>
      <w:r>
        <w:rPr>
          <w:rStyle w:val="CharStyle3"/>
          <w:b/>
          <w:bCs/>
          <w:smallCaps/>
        </w:rPr>
        <w:t>a zJ i» /zx zz •'s z ■'x ♦&gt; i x / i z*J a z4 zx z</w:t>
      </w:r>
    </w:p>
    <w:p>
      <w:pPr>
        <w:pStyle w:val="Style2"/>
        <w:keepNext w:val="0"/>
        <w:keepLines w:val="0"/>
        <w:widowControl w:val="0"/>
        <w:shd w:val="clear" w:color="auto" w:fill="auto"/>
        <w:tabs>
          <w:tab w:pos="6378" w:val="left"/>
        </w:tabs>
        <w:bidi w:val="0"/>
        <w:spacing w:before="0" w:after="260" w:line="182" w:lineRule="auto"/>
        <w:ind w:left="0" w:right="0"/>
        <w:jc w:val="both"/>
      </w:pPr>
      <w:r>
        <w:rPr>
          <w:rStyle w:val="CharStyle3"/>
          <w:b/>
          <w:bCs/>
        </w:rPr>
        <w:t xml:space="preserve">i v ’ uutu^av pai a iiiaitiiai uc w» </w:t>
      </w:r>
      <w:r>
        <w:rPr>
          <w:rStyle w:val="CharStyle3"/>
          <w:b/>
          <w:bCs/>
          <w:smallCaps/>
        </w:rPr>
        <w:t>duii iw c vuli vj jci v</w:t>
        <w:tab/>
        <w:t>lci vcii</w:t>
      </w:r>
      <w:r>
        <w:rPr>
          <w:rStyle w:val="CharStyle3"/>
          <w:b/>
          <w:bCs/>
        </w:rPr>
        <w:t xml:space="preserve"> uao uivti </w:t>
      </w:r>
      <w:r>
        <w:rPr>
          <w:rStyle w:val="CharStyle3"/>
          <w:b/>
          <w:bCs/>
          <w:smallCaps/>
        </w:rPr>
        <w:t>jqj uii</w:t>
      </w:r>
      <w:r>
        <w:rPr>
          <w:rStyle w:val="CharStyle3"/>
          <w:b/>
          <w:bCs/>
        </w:rPr>
        <w:t xml:space="preserve"> v </w:t>
      </w:r>
      <w:r>
        <w:rPr>
          <w:rStyle w:val="CharStyle3"/>
          <w:b/>
          <w:bCs/>
          <w:smallCaps/>
        </w:rPr>
        <w:t>iuuucj.</w:t>
      </w:r>
    </w:p>
    <w:p>
      <w:pPr>
        <w:pStyle w:val="Style4"/>
        <w:keepNext w:val="0"/>
        <w:keepLines w:val="0"/>
        <w:widowControl w:val="0"/>
        <w:shd w:val="clear" w:color="auto" w:fill="auto"/>
        <w:bidi w:val="0"/>
        <w:spacing w:before="0"/>
        <w:ind w:left="0" w:right="0" w:firstLine="580"/>
        <w:jc w:val="both"/>
      </w:pPr>
      <w:r>
        <w:rPr>
          <w:rStyle w:val="CharStyle5"/>
        </w:rPr>
        <w:t>Parágrafo único. Na avaliação do cumprimento das metas bimestrais de arrecadação, para implementação ou não do mecanismo de limitação de empenho e movimentação financeira, será considerado, ainda, o resultado financeiro apurado no Balanço Patrimonial do exercício anterior, em cdúd íurilede recursos.</w:t>
      </w:r>
    </w:p>
    <w:p>
      <w:pPr>
        <w:pStyle w:val="Style4"/>
        <w:keepNext w:val="0"/>
        <w:keepLines w:val="0"/>
        <w:widowControl w:val="0"/>
        <w:shd w:val="clear" w:color="auto" w:fill="auto"/>
        <w:bidi w:val="0"/>
        <w:spacing w:before="0" w:line="360" w:lineRule="auto"/>
        <w:ind w:left="0" w:right="0" w:firstLine="580"/>
        <w:jc w:val="both"/>
      </w:pPr>
      <w:r>
        <w:rPr>
          <w:rStyle w:val="CharStyle5"/>
        </w:rPr>
        <w:t xml:space="preserve">Art. 26. As despesas obrigatórias de caráter continuado, em relação à Receita Corrente Líquida, programadas para 2027 poderão ser expandidas em até 5% (cinco por cento), </w:t>
      </w:r>
      <w:r>
        <w:rPr>
          <w:rStyle w:val="CharStyle5"/>
          <w:lang w:val="pt-BR" w:eastAsia="pt-BR" w:bidi="pt-BR"/>
        </w:rPr>
        <w:t xml:space="preserve">tomando-se </w:t>
      </w:r>
      <w:r>
        <w:rPr>
          <w:rStyle w:val="CharStyle5"/>
        </w:rPr>
        <w:t xml:space="preserve">por base as despesas obrigatórias de caráter continuado fixadas na Lei </w:t>
      </w:r>
      <w:r>
        <w:rPr>
          <w:rStyle w:val="CharStyle5"/>
          <w:lang w:val="pt-BR" w:eastAsia="pt-BR" w:bidi="pt-BR"/>
        </w:rPr>
        <w:t xml:space="preserve">Orçamentária </w:t>
      </w:r>
      <w:r>
        <w:rPr>
          <w:rStyle w:val="CharStyle5"/>
        </w:rPr>
        <w:t>Anual para 2027 (art. 4</w:t>
      </w:r>
      <w:r>
        <w:rPr>
          <w:rStyle w:val="CharStyle5"/>
          <w:vertAlign w:val="superscript"/>
        </w:rPr>
        <w:t>5</w:t>
      </w:r>
      <w:r>
        <w:rPr>
          <w:rStyle w:val="CharStyle5"/>
        </w:rPr>
        <w:t>, § 22, da LRF).</w:t>
      </w:r>
    </w:p>
    <w:p>
      <w:pPr>
        <w:pStyle w:val="Style4"/>
        <w:keepNext w:val="0"/>
        <w:keepLines w:val="0"/>
        <w:widowControl w:val="0"/>
        <w:shd w:val="clear" w:color="auto" w:fill="auto"/>
        <w:bidi w:val="0"/>
        <w:spacing w:before="0" w:line="346" w:lineRule="auto"/>
        <w:ind w:left="0" w:right="0" w:firstLine="580"/>
        <w:jc w:val="both"/>
      </w:pPr>
      <w:r>
        <w:rPr>
          <w:rStyle w:val="CharStyle5"/>
        </w:rPr>
        <w:t xml:space="preserve">Art. 27. Constituem </w:t>
      </w:r>
      <w:r>
        <w:rPr>
          <w:rStyle w:val="CharStyle5"/>
          <w:b/>
          <w:bCs/>
        </w:rPr>
        <w:t xml:space="preserve">riscos fiscais </w:t>
      </w:r>
      <w:r>
        <w:rPr>
          <w:rStyle w:val="CharStyle5"/>
        </w:rPr>
        <w:t xml:space="preserve">capazes de afetar o equilíbrio das contas públicas do Município aqueles constantes do </w:t>
      </w:r>
      <w:r>
        <w:rPr>
          <w:rStyle w:val="CharStyle5"/>
          <w:b/>
          <w:bCs/>
        </w:rPr>
        <w:t xml:space="preserve">Anexo Próprio </w:t>
      </w:r>
      <w:r>
        <w:rPr>
          <w:rStyle w:val="CharStyle5"/>
        </w:rPr>
        <w:t>desta Lei (art. 4</w:t>
      </w:r>
      <w:r>
        <w:rPr>
          <w:rStyle w:val="CharStyle5"/>
          <w:vertAlign w:val="superscript"/>
        </w:rPr>
        <w:t>e</w:t>
      </w:r>
      <w:r>
        <w:rPr>
          <w:rStyle w:val="CharStyle5"/>
        </w:rPr>
        <w:t>, § 3</w:t>
      </w:r>
      <w:r>
        <w:rPr>
          <w:rStyle w:val="CharStyle5"/>
          <w:vertAlign w:val="superscript"/>
        </w:rPr>
        <w:t>Ç</w:t>
      </w:r>
      <w:r>
        <w:rPr>
          <w:rStyle w:val="CharStyle5"/>
        </w:rPr>
        <w:t>, da LRF).</w:t>
      </w:r>
    </w:p>
    <w:p>
      <w:pPr>
        <w:pStyle w:val="Style4"/>
        <w:keepNext w:val="0"/>
        <w:keepLines w:val="0"/>
        <w:widowControl w:val="0"/>
        <w:shd w:val="clear" w:color="auto" w:fill="auto"/>
        <w:bidi w:val="0"/>
        <w:spacing w:before="0"/>
        <w:ind w:left="0" w:right="0" w:firstLine="580"/>
        <w:jc w:val="both"/>
      </w:pPr>
      <w:r>
        <w:rPr>
          <w:rStyle w:val="CharStyle5"/>
        </w:rPr>
        <w:t xml:space="preserve">§ 12 Os riscos fiscais, caso se concretizem, serão atendidos com recursos da Reserva de Contingência e, também, se houver, do excesso de arrecadação, do </w:t>
      </w:r>
      <w:r>
        <w:rPr>
          <w:rStyle w:val="CharStyle5"/>
          <w:lang w:val="pt-BR" w:eastAsia="pt-BR" w:bidi="pt-BR"/>
        </w:rPr>
        <w:t xml:space="preserve">superávit </w:t>
      </w:r>
      <w:r>
        <w:rPr>
          <w:rStyle w:val="CharStyle5"/>
        </w:rPr>
        <w:t xml:space="preserve">financeiro do exercício de </w:t>
      </w:r>
      <w:r>
        <w:rPr>
          <w:rStyle w:val="CharStyle5"/>
          <w:b/>
          <w:bCs/>
        </w:rPr>
        <w:t xml:space="preserve">2026 </w:t>
      </w:r>
      <w:r>
        <w:rPr>
          <w:rStyle w:val="CharStyle5"/>
        </w:rPr>
        <w:t>e pela redução de empenho de despesas.</w:t>
      </w:r>
    </w:p>
    <w:p>
      <w:pPr>
        <w:pStyle w:val="Style4"/>
        <w:keepNext w:val="0"/>
        <w:keepLines w:val="0"/>
        <w:widowControl w:val="0"/>
        <w:shd w:val="clear" w:color="auto" w:fill="auto"/>
        <w:bidi w:val="0"/>
        <w:spacing w:before="0"/>
        <w:ind w:left="0" w:right="0" w:firstLine="580"/>
        <w:jc w:val="both"/>
      </w:pPr>
      <w:r>
        <w:rPr>
          <w:rStyle w:val="CharStyle5"/>
        </w:rPr>
        <w:t xml:space="preserve">§ 22 Sendo esses recursos insuficientes, o Poder Executivo Municipal promoverá a redução de empenhos dos recursos ordinários </w:t>
      </w:r>
      <w:r>
        <w:rPr>
          <w:rStyle w:val="CharStyle5"/>
          <w:lang w:val="pt-BR" w:eastAsia="pt-BR" w:bidi="pt-BR"/>
        </w:rPr>
        <w:t xml:space="preserve">alocados </w:t>
      </w:r>
      <w:r>
        <w:rPr>
          <w:rStyle w:val="CharStyle5"/>
        </w:rPr>
        <w:t>para outras dotações não comprometidas.</w:t>
      </w:r>
    </w:p>
    <w:p>
      <w:pPr>
        <w:pStyle w:val="Style4"/>
        <w:keepNext w:val="0"/>
        <w:keepLines w:val="0"/>
        <w:widowControl w:val="0"/>
        <w:shd w:val="clear" w:color="auto" w:fill="auto"/>
        <w:bidi w:val="0"/>
        <w:spacing w:before="0" w:line="348" w:lineRule="auto"/>
        <w:ind w:left="0" w:right="0" w:firstLine="580"/>
        <w:jc w:val="both"/>
      </w:pPr>
      <w:r>
        <w:rPr>
          <w:rStyle w:val="CharStyle5"/>
        </w:rPr>
        <w:t xml:space="preserve">Art. 28. O Orçamento para o exercício de </w:t>
      </w:r>
      <w:r>
        <w:rPr>
          <w:rStyle w:val="CharStyle5"/>
          <w:b/>
          <w:bCs/>
        </w:rPr>
        <w:t xml:space="preserve">2027 </w:t>
      </w:r>
      <w:r>
        <w:rPr>
          <w:rStyle w:val="CharStyle5"/>
        </w:rPr>
        <w:t>destinará recursos para a Reserva de Contingência, não inferiores a 1% (um por cento) das Receitas Correntes Líquidas previstas e até 80% (oitenta por cento) do total do orçamento de cada entidade para a abertura de créditos adicionais suplementares (art. 52, inciso III, da LRF).</w:t>
      </w:r>
    </w:p>
    <w:p>
      <w:pPr>
        <w:widowControl w:val="0"/>
        <w:jc w:val="center"/>
        <w:rPr>
          <w:sz w:val="2"/>
          <w:szCs w:val="2"/>
        </w:rPr>
      </w:pPr>
      <w:r>
        <w:drawing>
          <wp:inline>
            <wp:extent cx="859790" cy="585470"/>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3"/>
                    <a:stretch/>
                  </pic:blipFill>
                  <pic:spPr>
                    <a:xfrm>
                      <a:ext cx="859790" cy="585470"/>
                    </a:xfrm>
                    <a:prstGeom prst="rect"/>
                  </pic:spPr>
                </pic:pic>
              </a:graphicData>
            </a:graphic>
          </wp:inline>
        </w:drawing>
      </w:r>
    </w:p>
    <w:p>
      <w:pPr>
        <w:widowControl w:val="0"/>
        <w:spacing w:after="159" w:line="1" w:lineRule="exact"/>
      </w:pPr>
    </w:p>
    <w:p>
      <w:pPr>
        <w:pStyle w:val="Style6"/>
        <w:keepNext/>
        <w:keepLines/>
        <w:widowControl w:val="0"/>
        <w:shd w:val="clear" w:color="auto" w:fill="auto"/>
        <w:bidi w:val="0"/>
        <w:spacing w:before="0" w:after="0" w:line="240" w:lineRule="auto"/>
        <w:ind w:left="0" w:right="0" w:firstLine="0"/>
        <w:jc w:val="center"/>
        <w:rPr>
          <w:sz w:val="22"/>
          <w:szCs w:val="22"/>
        </w:rPr>
      </w:pPr>
      <w:bookmarkStart w:id="43" w:name="bookmark43"/>
      <w:r>
        <w:rPr>
          <w:rStyle w:val="CharStyle7"/>
          <w:rFonts w:ascii="Times New Roman" w:eastAsia="Times New Roman" w:hAnsi="Times New Roman" w:cs="Times New Roman"/>
          <w:b/>
          <w:bCs/>
          <w:sz w:val="22"/>
          <w:szCs w:val="22"/>
          <w:lang w:val="pt-BR" w:eastAsia="pt-BR" w:bidi="pt-BR"/>
        </w:rPr>
        <w:t>PREFEITURA MUNICIPAL DE CAREIRO DA VÁRZEA</w:t>
      </w:r>
      <w:bookmarkEnd w:id="43"/>
    </w:p>
    <w:p>
      <w:pPr>
        <w:pStyle w:val="Style9"/>
        <w:keepNext w:val="0"/>
        <w:keepLines w:val="0"/>
        <w:widowControl w:val="0"/>
        <w:shd w:val="clear" w:color="auto" w:fill="auto"/>
        <w:bidi w:val="0"/>
        <w:spacing w:before="0"/>
        <w:ind w:left="0" w:right="0" w:firstLine="0"/>
        <w:jc w:val="center"/>
      </w:pPr>
      <w:r>
        <w:rPr>
          <w:rStyle w:val="CharStyle10"/>
          <w:b/>
          <w:bCs/>
          <w:i/>
          <w:iCs/>
          <w:lang w:val="pt-BR" w:eastAsia="pt-BR" w:bidi="pt-BR"/>
        </w:rPr>
        <w:t>‘ nmr-rr</w:t>
      </w:r>
      <w:r>
        <w:rPr>
          <w:rStyle w:val="CharStyle10"/>
          <w:b/>
          <w:bCs/>
          <w:lang w:val="pt-BR" w:eastAsia="pt-BR" w:bidi="pt-BR"/>
        </w:rPr>
        <w:t xml:space="preserve"> nz\ nn r’ ir'r' </w:t>
      </w:r>
      <w:r>
        <w:rPr>
          <w:rStyle w:val="CharStyle10"/>
          <w:b/>
          <w:bCs/>
          <w:smallCaps/>
          <w:sz w:val="16"/>
          <w:szCs w:val="16"/>
          <w:lang w:val="pt-BR" w:eastAsia="pt-BR" w:bidi="pt-BR"/>
        </w:rPr>
        <w:t>it/&gt;</w:t>
        <w:br/>
      </w:r>
      <w:r>
        <w:rPr>
          <w:rStyle w:val="CharStyle10"/>
          <w:b/>
          <w:bCs/>
          <w:lang w:val="pt-BR" w:eastAsia="pt-BR" w:bidi="pt-BR"/>
        </w:rPr>
        <w:t xml:space="preserve">MAUIUL I JL </w:t>
      </w:r>
      <w:r>
        <w:rPr>
          <w:rStyle w:val="CharStyle10"/>
          <w:b/>
          <w:bCs/>
          <w:i/>
          <w:iCs/>
          <w:lang w:val="pt-BR" w:eastAsia="pt-BR" w:bidi="pt-BR"/>
        </w:rPr>
        <w:t>UKJ</w:t>
      </w:r>
      <w:r>
        <w:rPr>
          <w:rStyle w:val="CharStyle10"/>
          <w:b/>
          <w:bCs/>
          <w:lang w:val="pt-BR" w:eastAsia="pt-BR" w:bidi="pt-BR"/>
        </w:rPr>
        <w:t xml:space="preserve"> 1 1X11,I 1L1 1 V*</w:t>
      </w:r>
    </w:p>
    <w:p>
      <w:pPr>
        <w:pStyle w:val="Style4"/>
        <w:keepNext w:val="0"/>
        <w:keepLines w:val="0"/>
        <w:widowControl w:val="0"/>
        <w:shd w:val="clear" w:color="auto" w:fill="auto"/>
        <w:bidi w:val="0"/>
        <w:spacing w:before="0"/>
        <w:ind w:left="0" w:right="0" w:firstLine="580"/>
        <w:jc w:val="both"/>
      </w:pPr>
      <w:r>
        <w:rPr>
          <w:rStyle w:val="CharStyle5"/>
          <w:lang w:val="pt-BR" w:eastAsia="pt-BR" w:bidi="pt-BR"/>
        </w:rPr>
        <w:t>§ l</w:t>
      </w:r>
      <w:r>
        <w:rPr>
          <w:rStyle w:val="CharStyle5"/>
          <w:vertAlign w:val="superscript"/>
          <w:lang w:val="pt-BR" w:eastAsia="pt-BR" w:bidi="pt-BR"/>
        </w:rPr>
        <w:t>9</w:t>
      </w:r>
      <w:r>
        <w:rPr>
          <w:rStyle w:val="CharStyle5"/>
          <w:lang w:val="pt-BR" w:eastAsia="pt-BR" w:bidi="pt-BR"/>
        </w:rPr>
        <w:t xml:space="preserve"> Os recursos da Reserva de Contingência serão destinados ao atendimento de passivos contingentes e de outros riscos e eventos fiscais imprevistos, à obtenção de resultado primário positivo, se for o caso, e também à abertura de </w:t>
      </w:r>
      <w:r>
        <w:rPr>
          <w:rStyle w:val="CharStyle5"/>
          <w:b/>
          <w:bCs/>
          <w:lang w:val="pt-BR" w:eastAsia="pt-BR" w:bidi="pt-BR"/>
        </w:rPr>
        <w:t xml:space="preserve">créditos adicionais suplementares, </w:t>
      </w:r>
      <w:r>
        <w:rPr>
          <w:rStyle w:val="CharStyle5"/>
          <w:lang w:val="pt-BR" w:eastAsia="pt-BR" w:bidi="pt-BR"/>
        </w:rPr>
        <w:t>conforme disposto na Portaria MPO n</w:t>
      </w:r>
      <w:r>
        <w:rPr>
          <w:rStyle w:val="CharStyle5"/>
          <w:vertAlign w:val="superscript"/>
          <w:lang w:val="pt-BR" w:eastAsia="pt-BR" w:bidi="pt-BR"/>
        </w:rPr>
        <w:t>9</w:t>
      </w:r>
      <w:r>
        <w:rPr>
          <w:rStyle w:val="CharStyle5"/>
          <w:lang w:val="pt-BR" w:eastAsia="pt-BR" w:bidi="pt-BR"/>
        </w:rPr>
        <w:t xml:space="preserve"> 42/1999, art. 5</w:t>
      </w:r>
      <w:r>
        <w:rPr>
          <w:rStyle w:val="CharStyle5"/>
          <w:vertAlign w:val="superscript"/>
          <w:lang w:val="pt-BR" w:eastAsia="pt-BR" w:bidi="pt-BR"/>
        </w:rPr>
        <w:t>9</w:t>
      </w:r>
      <w:r>
        <w:rPr>
          <w:rStyle w:val="CharStyle5"/>
          <w:lang w:val="pt-BR" w:eastAsia="pt-BR" w:bidi="pt-BR"/>
        </w:rPr>
        <w:t>, e na Portaria STN n</w:t>
      </w:r>
      <w:r>
        <w:rPr>
          <w:rStyle w:val="CharStyle5"/>
          <w:vertAlign w:val="superscript"/>
          <w:lang w:val="pt-BR" w:eastAsia="pt-BR" w:bidi="pt-BR"/>
        </w:rPr>
        <w:t>9</w:t>
      </w:r>
      <w:r>
        <w:rPr>
          <w:rStyle w:val="CharStyle5"/>
          <w:lang w:val="pt-BR" w:eastAsia="pt-BR" w:bidi="pt-BR"/>
        </w:rPr>
        <w:t xml:space="preserve"> 163/2001, art. 8</w:t>
      </w:r>
      <w:r>
        <w:rPr>
          <w:rStyle w:val="CharStyle5"/>
          <w:vertAlign w:val="superscript"/>
          <w:lang w:val="pt-BR" w:eastAsia="pt-BR" w:bidi="pt-BR"/>
        </w:rPr>
        <w:t>9</w:t>
      </w:r>
      <w:r>
        <w:rPr>
          <w:rStyle w:val="CharStyle5"/>
          <w:lang w:val="pt-BR" w:eastAsia="pt-BR" w:bidi="pt-BR"/>
        </w:rPr>
        <w:t xml:space="preserve"> (art. 5</w:t>
      </w:r>
      <w:r>
        <w:rPr>
          <w:rStyle w:val="CharStyle5"/>
          <w:vertAlign w:val="superscript"/>
          <w:lang w:val="pt-BR" w:eastAsia="pt-BR" w:bidi="pt-BR"/>
        </w:rPr>
        <w:t>9</w:t>
      </w:r>
      <w:r>
        <w:rPr>
          <w:rStyle w:val="CharStyle5"/>
          <w:lang w:val="pt-BR" w:eastAsia="pt-BR" w:bidi="pt-BR"/>
        </w:rPr>
        <w:t>, inciso III, alínea "b”, da LRF).</w:t>
      </w:r>
    </w:p>
    <w:p>
      <w:pPr>
        <w:pStyle w:val="Style4"/>
        <w:keepNext w:val="0"/>
        <w:keepLines w:val="0"/>
        <w:widowControl w:val="0"/>
        <w:shd w:val="clear" w:color="auto" w:fill="auto"/>
        <w:bidi w:val="0"/>
        <w:spacing w:before="0"/>
        <w:ind w:left="0" w:right="0" w:firstLine="580"/>
        <w:jc w:val="both"/>
      </w:pPr>
      <w:r>
        <w:rPr>
          <w:rStyle w:val="CharStyle5"/>
          <w:lang w:val="pt-BR" w:eastAsia="pt-BR" w:bidi="pt-BR"/>
        </w:rPr>
        <w:t>§ 2</w:t>
      </w:r>
      <w:r>
        <w:rPr>
          <w:rStyle w:val="CharStyle5"/>
          <w:vertAlign w:val="superscript"/>
          <w:lang w:val="pt-BR" w:eastAsia="pt-BR" w:bidi="pt-BR"/>
        </w:rPr>
        <w:t>9</w:t>
      </w:r>
      <w:r>
        <w:rPr>
          <w:rStyle w:val="CharStyle5"/>
          <w:lang w:val="pt-BR" w:eastAsia="pt-BR" w:bidi="pt-BR"/>
        </w:rPr>
        <w:t xml:space="preserve"> Os recursos da Reserva de Contingência destinados a riscos fiscais, caso estes não se concretizem até o dia </w:t>
      </w:r>
      <w:r>
        <w:rPr>
          <w:rStyle w:val="CharStyle5"/>
          <w:b/>
          <w:bCs/>
          <w:lang w:val="pt-BR" w:eastAsia="pt-BR" w:bidi="pt-BR"/>
        </w:rPr>
        <w:t>l</w:t>
      </w:r>
      <w:r>
        <w:rPr>
          <w:rStyle w:val="CharStyle5"/>
          <w:b/>
          <w:bCs/>
          <w:vertAlign w:val="superscript"/>
          <w:lang w:val="pt-BR" w:eastAsia="pt-BR" w:bidi="pt-BR"/>
        </w:rPr>
        <w:t>9</w:t>
      </w:r>
      <w:r>
        <w:rPr>
          <w:rStyle w:val="CharStyle5"/>
          <w:b/>
          <w:bCs/>
          <w:lang w:val="pt-BR" w:eastAsia="pt-BR" w:bidi="pt-BR"/>
        </w:rPr>
        <w:t xml:space="preserve"> de julho de 2027, </w:t>
      </w:r>
      <w:r>
        <w:rPr>
          <w:rStyle w:val="CharStyle5"/>
          <w:lang w:val="pt-BR" w:eastAsia="pt-BR" w:bidi="pt-BR"/>
        </w:rPr>
        <w:t>poderão ser utilizados por ato do Chefe do Poder Executivo Municipal para abertura de créditos adicionais suplementares de dotações que se tornarem insuficientes.</w:t>
      </w:r>
    </w:p>
    <w:p>
      <w:pPr>
        <w:pStyle w:val="Style4"/>
        <w:keepNext w:val="0"/>
        <w:keepLines w:val="0"/>
        <w:widowControl w:val="0"/>
        <w:shd w:val="clear" w:color="auto" w:fill="auto"/>
        <w:bidi w:val="0"/>
        <w:spacing w:before="0"/>
        <w:ind w:left="0" w:right="0" w:firstLine="580"/>
        <w:jc w:val="both"/>
      </w:pPr>
      <w:r>
        <w:rPr>
          <w:rStyle w:val="CharStyle5"/>
          <w:lang w:val="pt-BR" w:eastAsia="pt-BR" w:bidi="pt-BR"/>
        </w:rPr>
        <w:t xml:space="preserve">Art. 29. Os investimentos com duração superior a </w:t>
      </w:r>
      <w:r>
        <w:rPr>
          <w:rStyle w:val="CharStyle5"/>
          <w:b/>
          <w:bCs/>
          <w:lang w:val="pt-BR" w:eastAsia="pt-BR" w:bidi="pt-BR"/>
        </w:rPr>
        <w:t xml:space="preserve">12 (doze) meses </w:t>
      </w:r>
      <w:r>
        <w:rPr>
          <w:rStyle w:val="CharStyle5"/>
          <w:lang w:val="pt-BR" w:eastAsia="pt-BR" w:bidi="pt-BR"/>
        </w:rPr>
        <w:t>só constarão da Lei Orçamentária Anual se contemplados no Plano Plurianual (art. 5</w:t>
      </w:r>
      <w:r>
        <w:rPr>
          <w:rStyle w:val="CharStyle5"/>
          <w:vertAlign w:val="superscript"/>
          <w:lang w:val="pt-BR" w:eastAsia="pt-BR" w:bidi="pt-BR"/>
        </w:rPr>
        <w:t>9</w:t>
      </w:r>
      <w:r>
        <w:rPr>
          <w:rStyle w:val="CharStyle5"/>
          <w:lang w:val="pt-BR" w:eastAsia="pt-BR" w:bidi="pt-BR"/>
        </w:rPr>
        <w:t>, § 5</w:t>
      </w:r>
      <w:r>
        <w:rPr>
          <w:rStyle w:val="CharStyle5"/>
          <w:vertAlign w:val="superscript"/>
          <w:lang w:val="pt-BR" w:eastAsia="pt-BR" w:bidi="pt-BR"/>
        </w:rPr>
        <w:t>9</w:t>
      </w:r>
      <w:r>
        <w:rPr>
          <w:rStyle w:val="CharStyle5"/>
          <w:lang w:val="pt-BR" w:eastAsia="pt-BR" w:bidi="pt-BR"/>
        </w:rPr>
        <w:t>, da LRF).</w:t>
      </w:r>
    </w:p>
    <w:p>
      <w:pPr>
        <w:pStyle w:val="Style4"/>
        <w:keepNext w:val="0"/>
        <w:keepLines w:val="0"/>
        <w:widowControl w:val="0"/>
        <w:shd w:val="clear" w:color="auto" w:fill="auto"/>
        <w:bidi w:val="0"/>
        <w:spacing w:before="0" w:line="350" w:lineRule="auto"/>
        <w:ind w:left="0" w:right="0" w:firstLine="580"/>
        <w:jc w:val="both"/>
      </w:pPr>
      <w:r>
        <w:rPr>
          <w:rStyle w:val="CharStyle5"/>
          <w:lang w:val="pt-BR" w:eastAsia="pt-BR" w:bidi="pt-BR"/>
        </w:rPr>
        <w:t>Art. 30. O Chefe do Poder Executivo Municipal estabelecerá até 30 (trinta) dias após a publicação da Lei Orçamentária Anual a programação financeira das receitas e despesas e o cronograma de execução mensal ou bimestral para as Unidades Gestoras, se for o caso (art. 8</w:t>
      </w:r>
      <w:r>
        <w:rPr>
          <w:rStyle w:val="CharStyle5"/>
          <w:vertAlign w:val="superscript"/>
          <w:lang w:val="pt-BR" w:eastAsia="pt-BR" w:bidi="pt-BR"/>
        </w:rPr>
        <w:t>9</w:t>
      </w:r>
      <w:r>
        <w:rPr>
          <w:rStyle w:val="CharStyle5"/>
          <w:lang w:val="pt-BR" w:eastAsia="pt-BR" w:bidi="pt-BR"/>
        </w:rPr>
        <w:t xml:space="preserve"> da LRF).</w:t>
      </w:r>
    </w:p>
    <w:p>
      <w:pPr>
        <w:pStyle w:val="Style4"/>
        <w:keepNext w:val="0"/>
        <w:keepLines w:val="0"/>
        <w:widowControl w:val="0"/>
        <w:shd w:val="clear" w:color="auto" w:fill="auto"/>
        <w:bidi w:val="0"/>
        <w:spacing w:before="0"/>
        <w:ind w:left="0" w:right="0" w:firstLine="580"/>
        <w:jc w:val="both"/>
      </w:pPr>
      <w:r>
        <w:rPr>
          <w:rStyle w:val="CharStyle5"/>
          <w:lang w:val="pt-BR" w:eastAsia="pt-BR" w:bidi="pt-BR"/>
        </w:rPr>
        <w:t xml:space="preserve">Art. 31. Os projetos e atividades priorizados na Lei Orçamentária para </w:t>
      </w:r>
      <w:r>
        <w:rPr>
          <w:rStyle w:val="CharStyle5"/>
          <w:b/>
          <w:bCs/>
          <w:lang w:val="pt-BR" w:eastAsia="pt-BR" w:bidi="pt-BR"/>
        </w:rPr>
        <w:t xml:space="preserve">2027, </w:t>
      </w:r>
      <w:r>
        <w:rPr>
          <w:rStyle w:val="CharStyle5"/>
          <w:lang w:val="pt-BR" w:eastAsia="pt-BR" w:bidi="pt-BR"/>
        </w:rPr>
        <w:t xml:space="preserve">com dotações vinculadas a fontes de recursos oriundos de transferências voluntárias, operações de crédito, alienação de bens e outras receitas extraordinárias, somente serão executados e utilizados, a qualquer título, se ocorrer ou </w:t>
      </w:r>
      <w:r>
        <w:rPr>
          <w:rStyle w:val="CharStyle5"/>
          <w:b/>
          <w:bCs/>
          <w:lang w:val="pt-BR" w:eastAsia="pt-BR" w:bidi="pt-BR"/>
        </w:rPr>
        <w:t xml:space="preserve">estiver garantido o ingresso dos respectivos recursos </w:t>
      </w:r>
      <w:r>
        <w:rPr>
          <w:rStyle w:val="CharStyle5"/>
          <w:lang w:val="pt-BR" w:eastAsia="pt-BR" w:bidi="pt-BR"/>
        </w:rPr>
        <w:t>no fluxo de caixa, respeitado o montante ingressado ou garantido (art. 8</w:t>
      </w:r>
      <w:r>
        <w:rPr>
          <w:rStyle w:val="CharStyle5"/>
          <w:vertAlign w:val="superscript"/>
          <w:lang w:val="pt-BR" w:eastAsia="pt-BR" w:bidi="pt-BR"/>
        </w:rPr>
        <w:t>9</w:t>
      </w:r>
      <w:r>
        <w:rPr>
          <w:rStyle w:val="CharStyle5"/>
          <w:lang w:val="pt-BR" w:eastAsia="pt-BR" w:bidi="pt-BR"/>
        </w:rPr>
        <w:t>, parágrafo único, e art. 50, inciso I, da LRF).</w:t>
      </w:r>
    </w:p>
    <w:p>
      <w:pPr>
        <w:pStyle w:val="Style4"/>
        <w:keepNext w:val="0"/>
        <w:keepLines w:val="0"/>
        <w:widowControl w:val="0"/>
        <w:shd w:val="clear" w:color="auto" w:fill="auto"/>
        <w:bidi w:val="0"/>
        <w:spacing w:before="0"/>
        <w:ind w:left="0" w:right="0" w:firstLine="580"/>
        <w:jc w:val="both"/>
      </w:pPr>
      <w:r>
        <w:rPr>
          <w:rStyle w:val="CharStyle5"/>
          <w:lang w:val="pt-BR" w:eastAsia="pt-BR" w:bidi="pt-BR"/>
        </w:rPr>
        <w:t xml:space="preserve">Art. 32. A renúncia de receita estimada para o exercício de </w:t>
      </w:r>
      <w:r>
        <w:rPr>
          <w:rStyle w:val="CharStyle5"/>
          <w:b/>
          <w:bCs/>
          <w:lang w:val="pt-BR" w:eastAsia="pt-BR" w:bidi="pt-BR"/>
        </w:rPr>
        <w:t xml:space="preserve">2027, </w:t>
      </w:r>
      <w:r>
        <w:rPr>
          <w:rStyle w:val="CharStyle5"/>
          <w:lang w:val="pt-BR" w:eastAsia="pt-BR" w:bidi="pt-BR"/>
        </w:rPr>
        <w:t xml:space="preserve">constante do </w:t>
      </w:r>
      <w:r>
        <w:rPr>
          <w:rStyle w:val="CharStyle5"/>
          <w:b/>
          <w:bCs/>
          <w:lang w:val="pt-BR" w:eastAsia="pt-BR" w:bidi="pt-BR"/>
        </w:rPr>
        <w:t xml:space="preserve">Anexo próprio </w:t>
      </w:r>
      <w:r>
        <w:rPr>
          <w:rStyle w:val="CharStyle5"/>
          <w:lang w:val="pt-BR" w:eastAsia="pt-BR" w:bidi="pt-BR"/>
        </w:rPr>
        <w:t>desta Lei, não será considerada para efeito de cálculo do orçamento da receita (art. 4</w:t>
      </w:r>
      <w:r>
        <w:rPr>
          <w:rStyle w:val="CharStyle5"/>
          <w:vertAlign w:val="superscript"/>
          <w:lang w:val="pt-BR" w:eastAsia="pt-BR" w:bidi="pt-BR"/>
        </w:rPr>
        <w:t>9</w:t>
      </w:r>
      <w:r>
        <w:rPr>
          <w:rStyle w:val="CharStyle5"/>
          <w:lang w:val="pt-BR" w:eastAsia="pt-BR" w:bidi="pt-BR"/>
        </w:rPr>
        <w:t>, § 2</w:t>
      </w:r>
      <w:r>
        <w:rPr>
          <w:rStyle w:val="CharStyle5"/>
          <w:vertAlign w:val="superscript"/>
          <w:lang w:val="pt-BR" w:eastAsia="pt-BR" w:bidi="pt-BR"/>
        </w:rPr>
        <w:t>9</w:t>
      </w:r>
      <w:r>
        <w:rPr>
          <w:rStyle w:val="CharStyle5"/>
          <w:lang w:val="pt-BR" w:eastAsia="pt-BR" w:bidi="pt-BR"/>
        </w:rPr>
        <w:t>, inciso V, e art. 14, inciso I, da LRF).</w:t>
      </w:r>
    </w:p>
    <w:p>
      <w:pPr>
        <w:pStyle w:val="Style4"/>
        <w:keepNext w:val="0"/>
        <w:keepLines w:val="0"/>
        <w:widowControl w:val="0"/>
        <w:shd w:val="clear" w:color="auto" w:fill="auto"/>
        <w:bidi w:val="0"/>
        <w:spacing w:before="0" w:line="350" w:lineRule="auto"/>
        <w:ind w:left="0" w:right="0" w:firstLine="580"/>
        <w:jc w:val="both"/>
      </w:pPr>
      <w:r>
        <w:rPr>
          <w:rStyle w:val="CharStyle5"/>
          <w:lang w:val="pt-BR" w:eastAsia="pt-BR" w:bidi="pt-BR"/>
        </w:rPr>
        <w:t xml:space="preserve">Art. 33. A transferência de recursos do Tesouro Municipal a entidades privadas beneficiará somente aquelas de caráter educativo, assistencial, recreativo, cultural, esportivo, de cooperação técnica, voltadas para o fortalecimento do </w:t>
      </w:r>
      <w:r>
        <w:rPr>
          <w:rStyle w:val="CharStyle5"/>
        </w:rPr>
        <w:t xml:space="preserve">associativismo </w:t>
      </w:r>
      <w:r>
        <w:rPr>
          <w:rStyle w:val="CharStyle5"/>
          <w:lang w:val="pt-BR" w:eastAsia="pt-BR" w:bidi="pt-BR"/>
        </w:rPr>
        <w:t>municipal e dependerá de autorização em lei específica (art. 4</w:t>
      </w:r>
      <w:r>
        <w:rPr>
          <w:rStyle w:val="CharStyle5"/>
          <w:vertAlign w:val="superscript"/>
          <w:lang w:val="pt-BR" w:eastAsia="pt-BR" w:bidi="pt-BR"/>
        </w:rPr>
        <w:t>9</w:t>
      </w:r>
      <w:r>
        <w:rPr>
          <w:rStyle w:val="CharStyle5"/>
          <w:lang w:val="pt-BR" w:eastAsia="pt-BR" w:bidi="pt-BR"/>
        </w:rPr>
        <w:t>,1, "f" e 26 da LRF).</w:t>
      </w:r>
    </w:p>
    <w:p>
      <w:pPr>
        <w:pStyle w:val="Style4"/>
        <w:keepNext w:val="0"/>
        <w:keepLines w:val="0"/>
        <w:widowControl w:val="0"/>
        <w:shd w:val="clear" w:color="auto" w:fill="auto"/>
        <w:bidi w:val="0"/>
        <w:spacing w:before="0"/>
        <w:ind w:left="0" w:right="0" w:firstLine="580"/>
        <w:jc w:val="both"/>
      </w:pPr>
      <w:r>
        <w:rPr>
          <w:rStyle w:val="CharStyle5"/>
          <w:lang w:val="pt-BR" w:eastAsia="pt-BR" w:bidi="pt-BR"/>
        </w:rPr>
        <w:t>Parágrafo único. As entidades beneficiadas com recursos do Tesouro Municipal deverão prestar contas no prazo de 30 (trinta) dias, contados do recebimento do recurso, na forma estabelecida pelo serviço de contabilidade municipal (art. 70, parágrafo único, da Constituição Federal).</w:t>
      </w:r>
    </w:p>
    <w:p>
      <w:pPr>
        <w:pStyle w:val="Style4"/>
        <w:keepNext w:val="0"/>
        <w:keepLines w:val="0"/>
        <w:widowControl w:val="0"/>
        <w:shd w:val="clear" w:color="auto" w:fill="auto"/>
        <w:bidi w:val="0"/>
        <w:spacing w:before="0"/>
        <w:ind w:left="0" w:right="0" w:firstLine="580"/>
        <w:jc w:val="both"/>
      </w:pPr>
      <w:r>
        <w:rPr>
          <w:rStyle w:val="CharStyle5"/>
          <w:lang w:val="pt-BR" w:eastAsia="pt-BR" w:bidi="pt-BR"/>
        </w:rPr>
        <w:t xml:space="preserve">Art. 34. Os procedimentos administrativos de estimativa do impacto orçamentário-financeiro e a declaração do ordenador da despesa, de que trata o art. 16, </w:t>
      </w:r>
      <w:r>
        <w:rPr>
          <w:rStyle w:val="CharStyle5"/>
          <w:b/>
          <w:bCs/>
          <w:lang w:val="pt-BR" w:eastAsia="pt-BR" w:bidi="pt-BR"/>
        </w:rPr>
        <w:t>incisos I e II, da Lei Complementar n</w:t>
      </w:r>
      <w:r>
        <w:rPr>
          <w:rStyle w:val="CharStyle5"/>
          <w:b/>
          <w:bCs/>
          <w:vertAlign w:val="superscript"/>
          <w:lang w:val="pt-BR" w:eastAsia="pt-BR" w:bidi="pt-BR"/>
        </w:rPr>
        <w:t>9</w:t>
      </w:r>
      <w:r>
        <w:rPr>
          <w:rStyle w:val="CharStyle5"/>
          <w:b/>
          <w:bCs/>
          <w:lang w:val="pt-BR" w:eastAsia="pt-BR" w:bidi="pt-BR"/>
        </w:rPr>
        <w:t xml:space="preserve"> 101, de 4 de maio de 2000 (Lei de Responsabilidade Fiscal - LRF), </w:t>
      </w:r>
      <w:r>
        <w:rPr>
          <w:rStyle w:val="CharStyle5"/>
          <w:lang w:val="pt-BR" w:eastAsia="pt-BR" w:bidi="pt-BR"/>
        </w:rPr>
        <w:t>deverão ser inseridos no processo de licitação ou de sua dispensa ou inexigibilidade.</w:t>
      </w:r>
    </w:p>
    <w:p>
      <w:pPr>
        <w:pStyle w:val="Style4"/>
        <w:keepNext w:val="0"/>
        <w:keepLines w:val="0"/>
        <w:widowControl w:val="0"/>
        <w:shd w:val="clear" w:color="auto" w:fill="auto"/>
        <w:bidi w:val="0"/>
        <w:spacing w:before="0" w:after="220" w:line="343" w:lineRule="auto"/>
        <w:ind w:left="0" w:right="0" w:firstLine="580"/>
        <w:jc w:val="both"/>
      </w:pPr>
      <w:r>
        <w:rPr>
          <w:rStyle w:val="CharStyle5"/>
          <w:lang w:val="pt-BR" w:eastAsia="pt-BR" w:bidi="pt-BR"/>
        </w:rPr>
        <w:t>Parágrafo único. Para efeito do disposto no art. 16, § 3</w:t>
      </w:r>
      <w:r>
        <w:rPr>
          <w:rStyle w:val="CharStyle5"/>
          <w:vertAlign w:val="superscript"/>
          <w:lang w:val="pt-BR" w:eastAsia="pt-BR" w:bidi="pt-BR"/>
        </w:rPr>
        <w:t>9</w:t>
      </w:r>
      <w:r>
        <w:rPr>
          <w:rStyle w:val="CharStyle5"/>
          <w:lang w:val="pt-BR" w:eastAsia="pt-BR" w:bidi="pt-BR"/>
        </w:rPr>
        <w:t xml:space="preserve">, </w:t>
      </w:r>
      <w:r>
        <w:rPr>
          <w:rStyle w:val="CharStyle5"/>
          <w:b/>
          <w:bCs/>
          <w:lang w:val="pt-BR" w:eastAsia="pt-BR" w:bidi="pt-BR"/>
        </w:rPr>
        <w:t>da Lei Complementar n</w:t>
      </w:r>
      <w:r>
        <w:rPr>
          <w:rStyle w:val="CharStyle5"/>
          <w:b/>
          <w:bCs/>
          <w:vertAlign w:val="superscript"/>
          <w:lang w:val="pt-BR" w:eastAsia="pt-BR" w:bidi="pt-BR"/>
        </w:rPr>
        <w:t>9</w:t>
      </w:r>
      <w:r>
        <w:rPr>
          <w:rStyle w:val="CharStyle5"/>
          <w:b/>
          <w:bCs/>
          <w:lang w:val="pt-BR" w:eastAsia="pt-BR" w:bidi="pt-BR"/>
        </w:rPr>
        <w:t xml:space="preserve"> 101, de 4 de maio de 2000 (Lei de Responsabilidade Fiscal - LRF), </w:t>
      </w:r>
      <w:r>
        <w:rPr>
          <w:rStyle w:val="CharStyle5"/>
          <w:lang w:val="pt-BR" w:eastAsia="pt-BR" w:bidi="pt-BR"/>
        </w:rPr>
        <w:t>são consideradas despesas irrelevantes aquelas decorrentes da criação, expansão ou aperfeiçoamento da ação governamental que acarrete aumento da despesa, cujo montante, no exercício financeiro de 2027, em cada evento, não exceda o valor limite para dispensa de licitação, fixado nos incisos I e II do art. 75 da Lei n</w:t>
      </w:r>
      <w:r>
        <w:rPr>
          <w:rStyle w:val="CharStyle5"/>
          <w:vertAlign w:val="superscript"/>
          <w:lang w:val="pt-BR" w:eastAsia="pt-BR" w:bidi="pt-BR"/>
        </w:rPr>
        <w:t>a</w:t>
      </w:r>
      <w:r>
        <w:rPr>
          <w:rStyle w:val="CharStyle5"/>
          <w:lang w:val="pt-BR" w:eastAsia="pt-BR" w:bidi="pt-BR"/>
        </w:rPr>
        <w:t xml:space="preserve"> 14.133, de I</w:t>
      </w:r>
      <w:r>
        <w:rPr>
          <w:rStyle w:val="CharStyle5"/>
          <w:vertAlign w:val="superscript"/>
          <w:lang w:val="pt-BR" w:eastAsia="pt-BR" w:bidi="pt-BR"/>
        </w:rPr>
        <w:t>a</w:t>
      </w:r>
      <w:r>
        <w:rPr>
          <w:rStyle w:val="CharStyle5"/>
          <w:lang w:val="pt-BR" w:eastAsia="pt-BR" w:bidi="pt-BR"/>
        </w:rPr>
        <w:t xml:space="preserve"> de abril de 2021.</w:t>
      </w:r>
    </w:p>
    <w:p>
      <w:pPr>
        <w:widowControl w:val="0"/>
        <w:jc w:val="right"/>
        <w:rPr>
          <w:sz w:val="2"/>
          <w:szCs w:val="2"/>
        </w:rPr>
      </w:pPr>
      <w:r>
        <w:drawing>
          <wp:inline>
            <wp:extent cx="323215" cy="45720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5"/>
                    <a:stretch/>
                  </pic:blipFill>
                  <pic:spPr>
                    <a:xfrm>
                      <a:ext cx="323215" cy="457200"/>
                    </a:xfrm>
                    <a:prstGeom prst="rect"/>
                  </pic:spPr>
                </pic:pic>
              </a:graphicData>
            </a:graphic>
          </wp:inline>
        </w:drawing>
      </w:r>
    </w:p>
    <w:p>
      <w:pPr>
        <w:widowControl w:val="0"/>
        <w:spacing w:line="1" w:lineRule="exact"/>
      </w:pPr>
    </w:p>
    <w:p>
      <w:pPr>
        <w:widowControl w:val="0"/>
        <w:jc w:val="center"/>
        <w:rPr>
          <w:sz w:val="2"/>
          <w:szCs w:val="2"/>
        </w:rPr>
      </w:pPr>
      <w:r>
        <w:drawing>
          <wp:inline>
            <wp:extent cx="859790" cy="585470"/>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a:stretch/>
                  </pic:blipFill>
                  <pic:spPr>
                    <a:xfrm>
                      <a:ext cx="859790" cy="585470"/>
                    </a:xfrm>
                    <a:prstGeom prst="rect"/>
                  </pic:spPr>
                </pic:pic>
              </a:graphicData>
            </a:graphic>
          </wp:inline>
        </w:drawing>
      </w:r>
    </w:p>
    <w:p>
      <w:pPr>
        <w:widowControl w:val="0"/>
        <w:spacing w:after="159" w:line="1" w:lineRule="exact"/>
      </w:pPr>
    </w:p>
    <w:p>
      <w:pPr>
        <w:pStyle w:val="Style6"/>
        <w:keepNext/>
        <w:keepLines/>
        <w:widowControl w:val="0"/>
        <w:shd w:val="clear" w:color="auto" w:fill="auto"/>
        <w:bidi w:val="0"/>
        <w:spacing w:before="0" w:after="0" w:line="240" w:lineRule="auto"/>
        <w:ind w:left="0" w:right="0" w:firstLine="0"/>
        <w:jc w:val="center"/>
        <w:rPr>
          <w:sz w:val="22"/>
          <w:szCs w:val="22"/>
        </w:rPr>
      </w:pPr>
      <w:bookmarkStart w:id="45" w:name="bookmark45"/>
      <w:r>
        <w:rPr>
          <w:rStyle w:val="CharStyle7"/>
          <w:rFonts w:ascii="Times New Roman" w:eastAsia="Times New Roman" w:hAnsi="Times New Roman" w:cs="Times New Roman"/>
          <w:b/>
          <w:bCs/>
          <w:sz w:val="22"/>
          <w:szCs w:val="22"/>
        </w:rPr>
        <w:t>PREFEITURA MUNICIPAL DE CAREIRO DA VÁRZEA</w:t>
      </w:r>
      <w:bookmarkEnd w:id="45"/>
    </w:p>
    <w:p>
      <w:pPr>
        <w:pStyle w:val="Style9"/>
        <w:keepNext w:val="0"/>
        <w:keepLines w:val="0"/>
        <w:widowControl w:val="0"/>
        <w:shd w:val="clear" w:color="auto" w:fill="auto"/>
        <w:bidi w:val="0"/>
        <w:spacing w:before="0"/>
        <w:ind w:left="0" w:right="0" w:firstLine="0"/>
        <w:jc w:val="center"/>
      </w:pPr>
      <w:r>
        <w:rPr>
          <w:rStyle w:val="CharStyle10"/>
          <w:b/>
          <w:bCs/>
          <w:i/>
          <w:iCs/>
        </w:rPr>
        <w:t>tr'</w:t>
      </w:r>
      <w:r>
        <w:rPr>
          <w:rStyle w:val="CharStyle10"/>
          <w:b/>
          <w:bCs/>
        </w:rPr>
        <w:t xml:space="preserve"> « li • »frTr </w:t>
      </w:r>
      <w:r>
        <w:rPr>
          <w:rStyle w:val="CharStyle10"/>
          <w:b/>
          <w:bCs/>
          <w:lang w:val="pt-BR" w:eastAsia="pt-BR" w:bidi="pt-BR"/>
        </w:rPr>
        <w:t xml:space="preserve">nr» </w:t>
      </w:r>
      <w:r>
        <w:rPr>
          <w:rStyle w:val="CharStyle10"/>
          <w:b/>
          <w:bCs/>
        </w:rPr>
        <w:t>nn r’r^»'T,z-\</w:t>
        <w:br/>
      </w:r>
      <w:r>
        <w:rPr>
          <w:rStyle w:val="CharStyle10"/>
          <w:b/>
          <w:bCs/>
          <w:lang w:val="pt-BR" w:eastAsia="pt-BR" w:bidi="pt-BR"/>
        </w:rPr>
        <w:t>Ll/VUlll</w:t>
      </w:r>
      <w:r>
        <w:rPr>
          <w:rStyle w:val="CharStyle10"/>
          <w:b/>
          <w:bCs/>
        </w:rPr>
        <w:t xml:space="preserve">1L I 1^ </w:t>
      </w:r>
      <w:r>
        <w:rPr>
          <w:rStyle w:val="CharStyle10"/>
          <w:b/>
          <w:bCs/>
          <w:i/>
          <w:iCs/>
        </w:rPr>
        <w:t>UXJ</w:t>
      </w:r>
      <w:r>
        <w:rPr>
          <w:rStyle w:val="CharStyle10"/>
          <w:b/>
          <w:bCs/>
        </w:rPr>
        <w:t xml:space="preserve"> 1 IXILL LI IV</w:t>
      </w:r>
    </w:p>
    <w:p>
      <w:pPr>
        <w:pStyle w:val="Style4"/>
        <w:keepNext w:val="0"/>
        <w:keepLines w:val="0"/>
        <w:widowControl w:val="0"/>
        <w:shd w:val="clear" w:color="auto" w:fill="auto"/>
        <w:bidi w:val="0"/>
        <w:spacing w:before="0" w:line="350" w:lineRule="auto"/>
        <w:ind w:left="0" w:right="0" w:firstLine="580"/>
        <w:jc w:val="both"/>
      </w:pPr>
      <w:r>
        <w:rPr>
          <w:rStyle w:val="CharStyle5"/>
        </w:rPr>
        <w:t xml:space="preserve">Art. 35. As obras em andamento e a conservação do </w:t>
      </w:r>
      <w:r>
        <w:rPr>
          <w:rStyle w:val="CharStyle5"/>
          <w:lang w:val="pt-BR" w:eastAsia="pt-BR" w:bidi="pt-BR"/>
        </w:rPr>
        <w:t xml:space="preserve">patrimônio </w:t>
      </w:r>
      <w:r>
        <w:rPr>
          <w:rStyle w:val="CharStyle5"/>
        </w:rPr>
        <w:t xml:space="preserve">público terão prioridade sobre projetos novos na </w:t>
      </w:r>
      <w:r>
        <w:rPr>
          <w:rStyle w:val="CharStyle5"/>
          <w:lang w:val="pt-BR" w:eastAsia="pt-BR" w:bidi="pt-BR"/>
        </w:rPr>
        <w:t xml:space="preserve">alocação </w:t>
      </w:r>
      <w:r>
        <w:rPr>
          <w:rStyle w:val="CharStyle5"/>
        </w:rPr>
        <w:t xml:space="preserve">de recursos </w:t>
      </w:r>
      <w:r>
        <w:rPr>
          <w:rStyle w:val="CharStyle5"/>
          <w:lang w:val="pt-BR" w:eastAsia="pt-BR" w:bidi="pt-BR"/>
        </w:rPr>
        <w:t xml:space="preserve">orçamentários, </w:t>
      </w:r>
      <w:r>
        <w:rPr>
          <w:rStyle w:val="CharStyle5"/>
        </w:rPr>
        <w:t>salvo projetos programados com recursos de transferência voluntária e operação de crédito (art. 45 da LRF).</w:t>
      </w:r>
    </w:p>
    <w:p>
      <w:pPr>
        <w:pStyle w:val="Style4"/>
        <w:keepNext w:val="0"/>
        <w:keepLines w:val="0"/>
        <w:widowControl w:val="0"/>
        <w:shd w:val="clear" w:color="auto" w:fill="auto"/>
        <w:bidi w:val="0"/>
        <w:spacing w:before="0" w:line="350" w:lineRule="auto"/>
        <w:ind w:left="0" w:right="0" w:firstLine="580"/>
        <w:jc w:val="both"/>
      </w:pPr>
      <w:r>
        <w:rPr>
          <w:rStyle w:val="CharStyle5"/>
        </w:rPr>
        <w:t xml:space="preserve">Art. 36. Despesas de competência de outros entes da Federação só serão assumidas pela Administração Municipal quando forem firmados </w:t>
      </w:r>
      <w:r>
        <w:rPr>
          <w:rStyle w:val="CharStyle5"/>
          <w:lang w:val="pt-BR" w:eastAsia="pt-BR" w:bidi="pt-BR"/>
        </w:rPr>
        <w:t xml:space="preserve">convênios, </w:t>
      </w:r>
      <w:r>
        <w:rPr>
          <w:rStyle w:val="CharStyle5"/>
        </w:rPr>
        <w:t xml:space="preserve">acordos ou ajustes e previstos recursos na lei </w:t>
      </w:r>
      <w:r>
        <w:rPr>
          <w:rStyle w:val="CharStyle5"/>
          <w:lang w:val="pt-BR" w:eastAsia="pt-BR" w:bidi="pt-BR"/>
        </w:rPr>
        <w:t xml:space="preserve">orçamentária </w:t>
      </w:r>
      <w:r>
        <w:rPr>
          <w:rStyle w:val="CharStyle5"/>
        </w:rPr>
        <w:t>(art. 62 da LRF).</w:t>
      </w:r>
    </w:p>
    <w:p>
      <w:pPr>
        <w:pStyle w:val="Style4"/>
        <w:keepNext w:val="0"/>
        <w:keepLines w:val="0"/>
        <w:widowControl w:val="0"/>
        <w:shd w:val="clear" w:color="auto" w:fill="auto"/>
        <w:bidi w:val="0"/>
        <w:spacing w:before="0"/>
        <w:ind w:left="0" w:right="0" w:firstLine="580"/>
        <w:jc w:val="both"/>
      </w:pPr>
      <w:r>
        <w:rPr>
          <w:rStyle w:val="CharStyle5"/>
        </w:rPr>
        <w:t>Art. 37. A previsão das receitas e a fixação das despesas serão orçadas para 2027 a preços correntes.</w:t>
      </w:r>
    </w:p>
    <w:p>
      <w:pPr>
        <w:pStyle w:val="Style4"/>
        <w:keepNext w:val="0"/>
        <w:keepLines w:val="0"/>
        <w:widowControl w:val="0"/>
        <w:shd w:val="clear" w:color="auto" w:fill="auto"/>
        <w:bidi w:val="0"/>
        <w:spacing w:before="0"/>
        <w:ind w:left="0" w:right="0" w:firstLine="580"/>
        <w:jc w:val="both"/>
      </w:pPr>
      <w:r>
        <w:rPr>
          <w:rStyle w:val="CharStyle5"/>
        </w:rPr>
        <w:t xml:space="preserve">Art. 38. A execução do orçamento da despesa obedecerá, dentro de cada Projeto, Atividade ou Operação Especial, à dotação fixada para cada Grupo de Natureza de Despesa/Modalidade de Aplicação, com apropriação dos gastos nos </w:t>
      </w:r>
      <w:r>
        <w:rPr>
          <w:rStyle w:val="CharStyle5"/>
          <w:lang w:val="pt-BR" w:eastAsia="pt-BR" w:bidi="pt-BR"/>
        </w:rPr>
        <w:t xml:space="preserve">respectivos </w:t>
      </w:r>
      <w:r>
        <w:rPr>
          <w:rStyle w:val="CharStyle5"/>
        </w:rPr>
        <w:t>elementos de despesa de que trata a Portaria STN n? 163/2001.</w:t>
      </w:r>
    </w:p>
    <w:p>
      <w:pPr>
        <w:pStyle w:val="Style4"/>
        <w:keepNext w:val="0"/>
        <w:keepLines w:val="0"/>
        <w:widowControl w:val="0"/>
        <w:shd w:val="clear" w:color="auto" w:fill="auto"/>
        <w:bidi w:val="0"/>
        <w:spacing w:before="0"/>
        <w:ind w:left="0" w:right="0" w:firstLine="580"/>
        <w:jc w:val="both"/>
      </w:pPr>
      <w:r>
        <w:rPr>
          <w:rStyle w:val="CharStyle5"/>
        </w:rPr>
        <w:t>Parágrafo único. A transposição, o remanejamento ou a transferência de recursos de um Grupo de Natureza de Despesa/Modalidade de Aplicação para outro, dentro de cada Projeto, Atividade ou Operação Especial, poderá ser feita por decreto do Prefeito Municipal, no âmbito do Poder Executivo, e por decreto legislativo do Presidente da Câmara, no âmbito do Poder Legislativo (art. 167, inciso VI, da Constituição Federal).</w:t>
      </w:r>
    </w:p>
    <w:p>
      <w:pPr>
        <w:pStyle w:val="Style4"/>
        <w:keepNext w:val="0"/>
        <w:keepLines w:val="0"/>
        <w:widowControl w:val="0"/>
        <w:shd w:val="clear" w:color="auto" w:fill="auto"/>
        <w:bidi w:val="0"/>
        <w:spacing w:before="0"/>
        <w:ind w:left="0" w:right="0" w:firstLine="580"/>
        <w:jc w:val="both"/>
      </w:pPr>
      <w:r>
        <w:rPr>
          <w:rStyle w:val="CharStyle5"/>
        </w:rPr>
        <w:t xml:space="preserve">Art. 39. Durante a execução </w:t>
      </w:r>
      <w:r>
        <w:rPr>
          <w:rStyle w:val="CharStyle5"/>
          <w:lang w:val="pt-BR" w:eastAsia="pt-BR" w:bidi="pt-BR"/>
        </w:rPr>
        <w:t xml:space="preserve">orçamentária </w:t>
      </w:r>
      <w:r>
        <w:rPr>
          <w:rStyle w:val="CharStyle5"/>
        </w:rPr>
        <w:t xml:space="preserve">de </w:t>
      </w:r>
      <w:r>
        <w:rPr>
          <w:rStyle w:val="CharStyle5"/>
          <w:b/>
          <w:bCs/>
        </w:rPr>
        <w:t xml:space="preserve">2027, </w:t>
      </w:r>
      <w:r>
        <w:rPr>
          <w:rStyle w:val="CharStyle5"/>
        </w:rPr>
        <w:t xml:space="preserve">se o Poder Executivo Municipal for autorizado por lei, poderá incluir novos projetos, atividades ou operações especiais no orçamento das Unidades Gestoras, na forma de crédito especial, desde que </w:t>
      </w:r>
      <w:r>
        <w:rPr>
          <w:rStyle w:val="CharStyle5"/>
          <w:b/>
          <w:bCs/>
        </w:rPr>
        <w:t xml:space="preserve">se enquadrem </w:t>
      </w:r>
      <w:r>
        <w:rPr>
          <w:rStyle w:val="CharStyle5"/>
        </w:rPr>
        <w:t xml:space="preserve">nas prioridades para o exercício de </w:t>
      </w:r>
      <w:r>
        <w:rPr>
          <w:rStyle w:val="CharStyle5"/>
          <w:b/>
          <w:bCs/>
        </w:rPr>
        <w:t xml:space="preserve">2027 </w:t>
      </w:r>
      <w:r>
        <w:rPr>
          <w:rStyle w:val="CharStyle5"/>
        </w:rPr>
        <w:t>(art. 167, inciso I, da Constituição Federal).</w:t>
      </w:r>
    </w:p>
    <w:p>
      <w:pPr>
        <w:pStyle w:val="Style4"/>
        <w:keepNext w:val="0"/>
        <w:keepLines w:val="0"/>
        <w:widowControl w:val="0"/>
        <w:shd w:val="clear" w:color="auto" w:fill="auto"/>
        <w:bidi w:val="0"/>
        <w:spacing w:before="0" w:line="350" w:lineRule="auto"/>
        <w:ind w:left="0" w:right="0" w:firstLine="580"/>
        <w:jc w:val="both"/>
      </w:pPr>
      <w:r>
        <w:rPr>
          <w:rStyle w:val="CharStyle5"/>
        </w:rPr>
        <w:t>Art. 40. O controle de custos das ações desenvolvidas pelo Poder Público Municipal obedecerá ao estabelecido no art. 50, § 3</w:t>
      </w:r>
      <w:r>
        <w:rPr>
          <w:rStyle w:val="CharStyle5"/>
          <w:vertAlign w:val="superscript"/>
        </w:rPr>
        <w:t>Q</w:t>
      </w:r>
      <w:r>
        <w:rPr>
          <w:rStyle w:val="CharStyle5"/>
        </w:rPr>
        <w:t xml:space="preserve">, </w:t>
      </w:r>
      <w:r>
        <w:rPr>
          <w:rStyle w:val="CharStyle5"/>
          <w:b/>
          <w:bCs/>
        </w:rPr>
        <w:t>da Lei Complementar n9 101, de 4 de maio de 2000 (Lei de Responsabilidade Fiscal - LRF).</w:t>
      </w:r>
    </w:p>
    <w:p>
      <w:pPr>
        <w:pStyle w:val="Style4"/>
        <w:keepNext w:val="0"/>
        <w:keepLines w:val="0"/>
        <w:widowControl w:val="0"/>
        <w:shd w:val="clear" w:color="auto" w:fill="auto"/>
        <w:bidi w:val="0"/>
        <w:spacing w:before="0" w:line="350" w:lineRule="auto"/>
        <w:ind w:left="0" w:right="0" w:firstLine="580"/>
        <w:jc w:val="both"/>
      </w:pPr>
      <w:r>
        <w:rPr>
          <w:rStyle w:val="CharStyle5"/>
        </w:rPr>
        <w:t xml:space="preserve">Parágrafo único. Os custos serão apurados por meio de operações </w:t>
      </w:r>
      <w:r>
        <w:rPr>
          <w:rStyle w:val="CharStyle5"/>
          <w:lang w:val="pt-BR" w:eastAsia="pt-BR" w:bidi="pt-BR"/>
        </w:rPr>
        <w:t xml:space="preserve">orçamentárias, tomando-se </w:t>
      </w:r>
      <w:r>
        <w:rPr>
          <w:rStyle w:val="CharStyle5"/>
        </w:rPr>
        <w:t xml:space="preserve">por base as metas fiscais previstas nas planilhas de despesas e as metas físicas realizadas e apuradas ao final do exercício </w:t>
      </w:r>
      <w:r>
        <w:rPr>
          <w:rStyle w:val="CharStyle5"/>
          <w:b/>
          <w:bCs/>
        </w:rPr>
        <w:t>(art. 42, inciso I, alínea "e", da LRF).</w:t>
      </w:r>
    </w:p>
    <w:p>
      <w:pPr>
        <w:pStyle w:val="Style4"/>
        <w:keepNext w:val="0"/>
        <w:keepLines w:val="0"/>
        <w:widowControl w:val="0"/>
        <w:shd w:val="clear" w:color="auto" w:fill="auto"/>
        <w:bidi w:val="0"/>
        <w:spacing w:before="0" w:after="560" w:line="350" w:lineRule="auto"/>
        <w:ind w:left="0" w:right="0" w:firstLine="580"/>
        <w:jc w:val="both"/>
      </w:pPr>
      <w:r>
        <w:rPr>
          <w:rStyle w:val="CharStyle5"/>
        </w:rPr>
        <w:t xml:space="preserve">Art. 41. Os programas priorizados por esta Lei e contemplados no Plano Plurianual, que integrarem a Lei </w:t>
      </w:r>
      <w:r>
        <w:rPr>
          <w:rStyle w:val="CharStyle5"/>
          <w:lang w:val="pt-BR" w:eastAsia="pt-BR" w:bidi="pt-BR"/>
        </w:rPr>
        <w:t xml:space="preserve">Orçamentária </w:t>
      </w:r>
      <w:r>
        <w:rPr>
          <w:rStyle w:val="CharStyle5"/>
        </w:rPr>
        <w:t xml:space="preserve">de </w:t>
      </w:r>
      <w:r>
        <w:rPr>
          <w:rStyle w:val="CharStyle5"/>
          <w:b/>
          <w:bCs/>
        </w:rPr>
        <w:t xml:space="preserve">2027, </w:t>
      </w:r>
      <w:r>
        <w:rPr>
          <w:rStyle w:val="CharStyle5"/>
        </w:rPr>
        <w:t>serão objeto de avaliação permanente pelos responsáveis, de modo a acompanhar o cumprimento de seus objetivos, corrigir desvios e avaliar seus custos e o cumprimento das metas físicas estabelecidas (art. 4</w:t>
      </w:r>
      <w:r>
        <w:rPr>
          <w:rStyle w:val="CharStyle5"/>
          <w:vertAlign w:val="superscript"/>
        </w:rPr>
        <w:t>9</w:t>
      </w:r>
      <w:r>
        <w:rPr>
          <w:rStyle w:val="CharStyle5"/>
        </w:rPr>
        <w:t>, inciso I, alínea "e", da LRF).</w:t>
      </w:r>
    </w:p>
    <w:p>
      <w:pPr>
        <w:pStyle w:val="Style4"/>
        <w:keepNext w:val="0"/>
        <w:keepLines w:val="0"/>
        <w:widowControl w:val="0"/>
        <w:shd w:val="clear" w:color="auto" w:fill="auto"/>
        <w:bidi w:val="0"/>
        <w:spacing w:before="0" w:after="200" w:line="240" w:lineRule="auto"/>
        <w:ind w:left="0" w:right="0" w:firstLine="0"/>
        <w:jc w:val="center"/>
      </w:pPr>
      <w:r>
        <w:rPr>
          <w:rStyle w:val="CharStyle5"/>
        </w:rPr>
        <w:t xml:space="preserve">CAPÍTULO </w:t>
      </w:r>
      <w:r>
        <w:rPr>
          <w:rStyle w:val="CharStyle5"/>
          <w:lang w:val="pt-BR" w:eastAsia="pt-BR" w:bidi="pt-BR"/>
        </w:rPr>
        <w:t>V</w:t>
      </w:r>
    </w:p>
    <w:p>
      <w:pPr>
        <w:pStyle w:val="Style4"/>
        <w:keepNext w:val="0"/>
        <w:keepLines w:val="0"/>
        <w:widowControl w:val="0"/>
        <w:shd w:val="clear" w:color="auto" w:fill="auto"/>
        <w:bidi w:val="0"/>
        <w:spacing w:before="0" w:after="200" w:line="240" w:lineRule="auto"/>
        <w:ind w:left="0" w:right="0" w:firstLine="0"/>
        <w:jc w:val="center"/>
      </w:pPr>
      <w:r>
        <w:rPr>
          <w:rStyle w:val="CharStyle5"/>
        </w:rPr>
        <w:t>DAS DISPOSIÇÕES SOBRE A DÍVIDA PÚBLICA MUNICIPAL</w:t>
      </w:r>
    </w:p>
    <w:p>
      <w:pPr>
        <w:pStyle w:val="Style4"/>
        <w:keepNext w:val="0"/>
        <w:keepLines w:val="0"/>
        <w:widowControl w:val="0"/>
        <w:shd w:val="clear" w:color="auto" w:fill="auto"/>
        <w:bidi w:val="0"/>
        <w:spacing w:before="0" w:line="336" w:lineRule="auto"/>
        <w:ind w:left="0" w:right="0" w:firstLine="580"/>
        <w:jc w:val="both"/>
      </w:pPr>
      <w:r>
        <w:rPr>
          <w:rStyle w:val="CharStyle5"/>
        </w:rPr>
        <w:t xml:space="preserve">Ari. 42. A Lei </w:t>
      </w:r>
      <w:r>
        <w:rPr>
          <w:rStyle w:val="CharStyle5"/>
          <w:lang w:val="pt-BR" w:eastAsia="pt-BR" w:bidi="pt-BR"/>
        </w:rPr>
        <w:t xml:space="preserve">Orçamentária </w:t>
      </w:r>
      <w:r>
        <w:rPr>
          <w:rStyle w:val="CharStyle5"/>
        </w:rPr>
        <w:t xml:space="preserve">de </w:t>
      </w:r>
      <w:r>
        <w:rPr>
          <w:rStyle w:val="CharStyle5"/>
          <w:b/>
          <w:bCs/>
        </w:rPr>
        <w:t xml:space="preserve">2027 </w:t>
      </w:r>
      <w:r>
        <w:rPr>
          <w:rStyle w:val="CharStyle5"/>
        </w:rPr>
        <w:t xml:space="preserve">pudera </w:t>
      </w:r>
      <w:r>
        <w:rPr>
          <w:rStyle w:val="CharStyle5"/>
          <w:lang w:val="pt-BR" w:eastAsia="pt-BR" w:bidi="pt-BR"/>
        </w:rPr>
        <w:t xml:space="preserve">cunier </w:t>
      </w:r>
      <w:r>
        <w:rPr>
          <w:rStyle w:val="CharStyle5"/>
        </w:rPr>
        <w:t xml:space="preserve">auíurizaçãu para curitraíaçãu de </w:t>
      </w:r>
      <w:r>
        <w:rPr>
          <w:rStyle w:val="CharStyle5"/>
          <w:b/>
          <w:bCs/>
        </w:rPr>
        <w:t xml:space="preserve">operações de crédito </w:t>
      </w:r>
      <w:r>
        <w:rPr>
          <w:rStyle w:val="CharStyle5"/>
        </w:rPr>
        <w:t xml:space="preserve">destinadas ao atendimento de </w:t>
      </w:r>
      <w:r>
        <w:rPr>
          <w:rStyle w:val="CharStyle5"/>
          <w:b/>
          <w:bCs/>
        </w:rPr>
        <w:t xml:space="preserve">despesas de capital, </w:t>
      </w:r>
      <w:r>
        <w:rPr>
          <w:rStyle w:val="CharStyle5"/>
        </w:rPr>
        <w:t xml:space="preserve">observado o limite de endividamento de </w:t>
      </w:r>
      <w:r>
        <w:rPr>
          <w:rStyle w:val="CharStyle5"/>
          <w:b/>
          <w:bCs/>
        </w:rPr>
        <w:t xml:space="preserve">até </w:t>
      </w:r>
      <w:r>
        <w:rPr>
          <w:rStyle w:val="CharStyle5"/>
        </w:rPr>
        <w:t>50% (cinquenta por cento) das Receitas Correntes Líquidas apuradas até o final do semestre anterior à</w:t>
      </w:r>
      <w:r>
        <w:br w:type="page"/>
      </w:r>
    </w:p>
    <w:p>
      <w:pPr>
        <w:widowControl w:val="0"/>
        <w:spacing w:line="1" w:lineRule="exact"/>
      </w:pPr>
      <w:r>
        <w:drawing>
          <wp:anchor distT="0" distB="25400" distL="0" distR="0" simplePos="0" relativeHeight="125829387" behindDoc="0" locked="0" layoutInCell="1" allowOverlap="1">
            <wp:simplePos x="0" y="0"/>
            <wp:positionH relativeFrom="page">
              <wp:posOffset>3251200</wp:posOffset>
            </wp:positionH>
            <wp:positionV relativeFrom="paragraph">
              <wp:posOffset>0</wp:posOffset>
            </wp:positionV>
            <wp:extent cx="859790" cy="58547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29"/>
                    <a:stretch/>
                  </pic:blipFill>
                  <pic:spPr>
                    <a:xfrm>
                      <a:ext cx="859790" cy="585470"/>
                    </a:xfrm>
                    <a:prstGeom prst="rect"/>
                  </pic:spPr>
                </pic:pic>
              </a:graphicData>
            </a:graphic>
          </wp:anchor>
        </w:drawing>
      </w:r>
    </w:p>
    <w:p>
      <w:pPr>
        <w:pStyle w:val="Style6"/>
        <w:keepNext/>
        <w:keepLines/>
        <w:widowControl w:val="0"/>
        <w:shd w:val="clear" w:color="auto" w:fill="auto"/>
        <w:bidi w:val="0"/>
        <w:spacing w:before="0" w:after="0" w:line="175" w:lineRule="auto"/>
        <w:ind w:left="0" w:right="0" w:firstLine="0"/>
        <w:jc w:val="center"/>
        <w:rPr>
          <w:sz w:val="10"/>
          <w:szCs w:val="10"/>
        </w:rPr>
      </w:pPr>
      <w:bookmarkStart w:id="47" w:name="bookmark47"/>
      <w:r>
        <w:rPr>
          <w:rStyle w:val="CharStyle7"/>
          <w:rFonts w:ascii="Times New Roman" w:eastAsia="Times New Roman" w:hAnsi="Times New Roman" w:cs="Times New Roman"/>
          <w:b/>
          <w:bCs/>
          <w:sz w:val="22"/>
          <w:szCs w:val="22"/>
        </w:rPr>
        <w:t>PREFEITURA MUNICIPAL DE CAREIRO DA VÁRZEA</w:t>
        <w:br/>
      </w:r>
      <w:r>
        <w:rPr>
          <w:rStyle w:val="CharStyle7"/>
          <w:rFonts w:ascii="Times New Roman" w:eastAsia="Times New Roman" w:hAnsi="Times New Roman" w:cs="Times New Roman"/>
          <w:b/>
          <w:bCs/>
          <w:smallCaps/>
          <w:sz w:val="16"/>
          <w:szCs w:val="16"/>
        </w:rPr>
        <w:t>a</w:t>
      </w:r>
      <w:r>
        <w:rPr>
          <w:rStyle w:val="CharStyle7"/>
          <w:rFonts w:ascii="Times New Roman" w:eastAsia="Times New Roman" w:hAnsi="Times New Roman" w:cs="Times New Roman"/>
          <w:b/>
          <w:bCs/>
          <w:sz w:val="10"/>
          <w:szCs w:val="10"/>
        </w:rPr>
        <w:t xml:space="preserve"> niKTrrrr'</w:t>
      </w:r>
      <w:bookmarkEnd w:id="47"/>
    </w:p>
    <w:p>
      <w:pPr>
        <w:pStyle w:val="Style9"/>
        <w:keepNext w:val="0"/>
        <w:keepLines w:val="0"/>
        <w:widowControl w:val="0"/>
        <w:shd w:val="clear" w:color="auto" w:fill="auto"/>
        <w:bidi w:val="0"/>
        <w:spacing w:before="0" w:line="194" w:lineRule="auto"/>
        <w:ind w:left="0" w:right="0" w:firstLine="0"/>
        <w:jc w:val="center"/>
      </w:pPr>
      <w:r>
        <w:rPr>
          <w:rStyle w:val="CharStyle10"/>
          <w:b/>
          <w:bCs/>
        </w:rPr>
        <w:t xml:space="preserve">V&gt;2AO11^IL 1 IL </w:t>
      </w:r>
      <w:r>
        <w:rPr>
          <w:rStyle w:val="CharStyle10"/>
          <w:b/>
          <w:bCs/>
          <w:i/>
          <w:iCs/>
        </w:rPr>
        <w:t>W</w:t>
      </w:r>
      <w:r>
        <w:rPr>
          <w:rStyle w:val="CharStyle10"/>
          <w:b/>
          <w:bCs/>
        </w:rPr>
        <w:t xml:space="preserve"> f </w:t>
      </w:r>
      <w:r>
        <w:rPr>
          <w:rStyle w:val="CharStyle10"/>
          <w:b/>
          <w:bCs/>
          <w:lang w:val="pt-BR" w:eastAsia="pt-BR" w:bidi="pt-BR"/>
        </w:rPr>
        <w:t xml:space="preserve">IVILF El </w:t>
      </w:r>
      <w:r>
        <w:rPr>
          <w:rStyle w:val="CharStyle10"/>
          <w:b/>
          <w:bCs/>
        </w:rPr>
        <w:t>IV</w:t>
      </w:r>
    </w:p>
    <w:p>
      <w:pPr>
        <w:pStyle w:val="Style4"/>
        <w:keepNext w:val="0"/>
        <w:keepLines w:val="0"/>
        <w:widowControl w:val="0"/>
        <w:shd w:val="clear" w:color="auto" w:fill="auto"/>
        <w:bidi w:val="0"/>
        <w:spacing w:before="0"/>
        <w:ind w:left="0" w:right="0" w:firstLine="0"/>
        <w:jc w:val="both"/>
      </w:pPr>
      <w:r>
        <w:rPr>
          <w:rStyle w:val="CharStyle5"/>
        </w:rPr>
        <w:t xml:space="preserve">assinatura do contrato, na forma estabelecida </w:t>
      </w:r>
      <w:r>
        <w:rPr>
          <w:rStyle w:val="CharStyle5"/>
          <w:b/>
          <w:bCs/>
        </w:rPr>
        <w:t>na Lei Complementar n</w:t>
      </w:r>
      <w:r>
        <w:rPr>
          <w:rStyle w:val="CharStyle5"/>
          <w:b/>
          <w:bCs/>
          <w:vertAlign w:val="superscript"/>
        </w:rPr>
        <w:t>9</w:t>
      </w:r>
      <w:r>
        <w:rPr>
          <w:rStyle w:val="CharStyle5"/>
          <w:b/>
          <w:bCs/>
        </w:rPr>
        <w:t xml:space="preserve"> 101, de 4 de maio de 2000 (Lei de Responsabilidade Fiscal - LRF) </w:t>
      </w:r>
      <w:r>
        <w:rPr>
          <w:rStyle w:val="CharStyle5"/>
        </w:rPr>
        <w:t>(arts. 30, 31 e 32).</w:t>
      </w:r>
    </w:p>
    <w:p>
      <w:pPr>
        <w:pStyle w:val="Style4"/>
        <w:keepNext w:val="0"/>
        <w:keepLines w:val="0"/>
        <w:widowControl w:val="0"/>
        <w:shd w:val="clear" w:color="auto" w:fill="auto"/>
        <w:bidi w:val="0"/>
        <w:spacing w:before="0" w:line="240" w:lineRule="auto"/>
        <w:ind w:left="0" w:right="0" w:firstLine="580"/>
        <w:jc w:val="both"/>
      </w:pPr>
      <w:r>
        <w:rPr>
          <w:rStyle w:val="CharStyle5"/>
        </w:rPr>
        <w:t>Art. 43. A contratação de operações de crédito dependerá de autorização em lei específica (art.</w:t>
      </w:r>
    </w:p>
    <w:p>
      <w:pPr>
        <w:pStyle w:val="Style6"/>
        <w:keepNext/>
        <w:keepLines/>
        <w:widowControl w:val="0"/>
        <w:numPr>
          <w:ilvl w:val="0"/>
          <w:numId w:val="5"/>
        </w:numPr>
        <w:shd w:val="clear" w:color="auto" w:fill="auto"/>
        <w:tabs>
          <w:tab w:pos="433" w:val="left"/>
        </w:tabs>
        <w:bidi w:val="0"/>
        <w:spacing w:before="0" w:line="240" w:lineRule="auto"/>
        <w:ind w:left="0" w:right="0" w:firstLine="0"/>
        <w:jc w:val="both"/>
      </w:pPr>
      <w:bookmarkStart w:id="49" w:name="bookmark49"/>
      <w:r>
        <w:rPr>
          <w:rStyle w:val="CharStyle7"/>
          <w:b/>
          <w:bCs/>
        </w:rPr>
        <w:t>parágrafo único, da LRF).</w:t>
      </w:r>
      <w:bookmarkEnd w:id="49"/>
    </w:p>
    <w:p>
      <w:pPr>
        <w:pStyle w:val="Style4"/>
        <w:keepNext w:val="0"/>
        <w:keepLines w:val="0"/>
        <w:widowControl w:val="0"/>
        <w:shd w:val="clear" w:color="auto" w:fill="auto"/>
        <w:bidi w:val="0"/>
        <w:spacing w:before="0" w:after="560" w:line="350" w:lineRule="auto"/>
        <w:ind w:left="0" w:right="0" w:firstLine="580"/>
        <w:jc w:val="both"/>
      </w:pPr>
      <w:r>
        <w:rPr>
          <w:rStyle w:val="CharStyle5"/>
        </w:rPr>
        <w:t>Art. 44. Ultrapassado o limite de endividamento definido na legislação pertinente e enquanto perdurar o excesso, o Poder Executivo obterá resultado primário necessário por meio da limitação de empenho e movimentação financeira (art. 31, § I</w:t>
      </w:r>
      <w:r>
        <w:rPr>
          <w:rStyle w:val="CharStyle5"/>
          <w:vertAlign w:val="superscript"/>
        </w:rPr>
        <w:t>o</w:t>
      </w:r>
      <w:r>
        <w:rPr>
          <w:rStyle w:val="CharStyle5"/>
        </w:rPr>
        <w:t>, inciso II da LRF).</w:t>
      </w:r>
    </w:p>
    <w:p>
      <w:pPr>
        <w:pStyle w:val="Style4"/>
        <w:keepNext w:val="0"/>
        <w:keepLines w:val="0"/>
        <w:widowControl w:val="0"/>
        <w:shd w:val="clear" w:color="auto" w:fill="auto"/>
        <w:bidi w:val="0"/>
        <w:spacing w:before="0" w:after="220" w:line="240" w:lineRule="auto"/>
        <w:ind w:left="0" w:right="0" w:firstLine="0"/>
        <w:jc w:val="center"/>
      </w:pPr>
      <w:r>
        <w:rPr>
          <w:rStyle w:val="CharStyle5"/>
        </w:rPr>
        <w:t>CAPÍTULO VI</w:t>
      </w:r>
    </w:p>
    <w:p>
      <w:pPr>
        <w:pStyle w:val="Style4"/>
        <w:keepNext w:val="0"/>
        <w:keepLines w:val="0"/>
        <w:widowControl w:val="0"/>
        <w:shd w:val="clear" w:color="auto" w:fill="auto"/>
        <w:bidi w:val="0"/>
        <w:spacing w:before="0" w:after="220" w:line="240" w:lineRule="auto"/>
        <w:ind w:left="0" w:right="0" w:firstLine="0"/>
        <w:jc w:val="center"/>
      </w:pPr>
      <w:r>
        <w:rPr>
          <w:rStyle w:val="CharStyle5"/>
        </w:rPr>
        <w:t>DAS DISPOSIÇÕES SOBRE DESPESAS COM PESSOAL</w:t>
      </w:r>
    </w:p>
    <w:p>
      <w:pPr>
        <w:pStyle w:val="Style4"/>
        <w:keepNext w:val="0"/>
        <w:keepLines w:val="0"/>
        <w:widowControl w:val="0"/>
        <w:shd w:val="clear" w:color="auto" w:fill="auto"/>
        <w:bidi w:val="0"/>
        <w:spacing w:before="0"/>
        <w:ind w:left="0" w:right="0" w:firstLine="580"/>
        <w:jc w:val="both"/>
      </w:pPr>
      <w:r>
        <w:rPr>
          <w:rStyle w:val="CharStyle5"/>
        </w:rPr>
        <w:t xml:space="preserve">Ari. 45. O Poder Exécutivõ Municipal e o Poder </w:t>
      </w:r>
      <w:r>
        <w:rPr>
          <w:rStyle w:val="CharStyle5"/>
          <w:lang w:val="pt-BR" w:eastAsia="pt-BR" w:bidi="pt-BR"/>
        </w:rPr>
        <w:t xml:space="preserve">LégisidüvO </w:t>
      </w:r>
      <w:r>
        <w:rPr>
          <w:rStyle w:val="CharStyle5"/>
        </w:rPr>
        <w:t xml:space="preserve">Municipat, medianiè lei ãuiõrizaiivd, poderão, em 2027, criar cargos e funções, alterar a estrutura de carreira, corrigir ou aumentar a remuneração de servidores, conceder vantagens, admitir pessoal aprovado em concurso público ou </w:t>
      </w:r>
      <w:r>
        <w:rPr>
          <w:rStyle w:val="CharStyle5"/>
          <w:b/>
          <w:bCs/>
        </w:rPr>
        <w:t xml:space="preserve">contratar pessoal em caráter temporário, </w:t>
      </w:r>
      <w:r>
        <w:rPr>
          <w:rStyle w:val="CharStyle5"/>
        </w:rPr>
        <w:t xml:space="preserve">na forma da lei, observados os limites e as regras da </w:t>
      </w:r>
      <w:r>
        <w:rPr>
          <w:rStyle w:val="CharStyle5"/>
          <w:b/>
          <w:bCs/>
        </w:rPr>
        <w:t>Lei Complementar n</w:t>
      </w:r>
      <w:r>
        <w:rPr>
          <w:rStyle w:val="CharStyle5"/>
          <w:b/>
          <w:bCs/>
          <w:vertAlign w:val="superscript"/>
        </w:rPr>
        <w:t>9</w:t>
      </w:r>
      <w:r>
        <w:rPr>
          <w:rStyle w:val="CharStyle5"/>
          <w:b/>
          <w:bCs/>
        </w:rPr>
        <w:t xml:space="preserve"> 101, de 4 de maio de 2000 (Lei de Responsabilidade Fiscal - </w:t>
      </w:r>
      <w:r>
        <w:rPr>
          <w:rStyle w:val="CharStyle5"/>
          <w:b/>
          <w:bCs/>
          <w:smallCaps/>
        </w:rPr>
        <w:t>irf)</w:t>
      </w:r>
      <w:r>
        <w:rPr>
          <w:rStyle w:val="CharStyle5"/>
        </w:rPr>
        <w:t xml:space="preserve"> (art 169, § 1</w:t>
      </w:r>
      <w:r>
        <w:rPr>
          <w:rStyle w:val="CharStyle5"/>
          <w:vertAlign w:val="superscript"/>
        </w:rPr>
        <w:t>9</w:t>
      </w:r>
      <w:r>
        <w:rPr>
          <w:rStyle w:val="CharStyle5"/>
        </w:rPr>
        <w:t>, inciso II, da Constituição Federal).</w:t>
      </w:r>
    </w:p>
    <w:p>
      <w:pPr>
        <w:pStyle w:val="Style4"/>
        <w:keepNext w:val="0"/>
        <w:keepLines w:val="0"/>
        <w:widowControl w:val="0"/>
        <w:shd w:val="clear" w:color="auto" w:fill="auto"/>
        <w:bidi w:val="0"/>
        <w:spacing w:before="0"/>
        <w:ind w:left="0" w:right="0" w:firstLine="580"/>
        <w:jc w:val="both"/>
      </w:pPr>
      <w:r>
        <w:rPr>
          <w:rStyle w:val="CharStyle5"/>
        </w:rPr>
        <w:t>Parágrafo único. Os recursos para as despesas decorrentes destes atos deverão estar previstos na lei de orçamento para 2027.</w:t>
      </w:r>
    </w:p>
    <w:p>
      <w:pPr>
        <w:pStyle w:val="Style4"/>
        <w:keepNext w:val="0"/>
        <w:keepLines w:val="0"/>
        <w:widowControl w:val="0"/>
        <w:shd w:val="clear" w:color="auto" w:fill="auto"/>
        <w:bidi w:val="0"/>
        <w:spacing w:before="0"/>
        <w:ind w:left="0" w:right="0" w:firstLine="580"/>
        <w:jc w:val="both"/>
      </w:pPr>
      <w:r>
        <w:rPr>
          <w:rStyle w:val="CharStyle5"/>
        </w:rPr>
        <w:t xml:space="preserve">Art. 46. Ressalvada a hipótese do inciso X do art. 37 da Constituição Federal, a despesa total com pessoal de cada um dos Poderes, Executivo e Legislativo, em 2027, não excederá, em percentual da Receita Corrente Líquida, a despesa verificada no exercício de 2026, acrescida de 5% (cinco por cento), obedecido o limite prudencial de 51,30% e 5,70% da Receita Corrente Líquida, </w:t>
      </w:r>
      <w:r>
        <w:rPr>
          <w:rStyle w:val="CharStyle5"/>
          <w:lang w:val="pt-BR" w:eastAsia="pt-BR" w:bidi="pt-BR"/>
        </w:rPr>
        <w:t xml:space="preserve">respectivamente </w:t>
      </w:r>
      <w:r>
        <w:rPr>
          <w:rStyle w:val="CharStyle5"/>
        </w:rPr>
        <w:t>(art. 71 da LRF).</w:t>
      </w:r>
    </w:p>
    <w:p>
      <w:pPr>
        <w:pStyle w:val="Style4"/>
        <w:keepNext w:val="0"/>
        <w:keepLines w:val="0"/>
        <w:widowControl w:val="0"/>
        <w:shd w:val="clear" w:color="auto" w:fill="auto"/>
        <w:bidi w:val="0"/>
        <w:spacing w:before="0"/>
        <w:ind w:left="0" w:right="0" w:firstLine="580"/>
        <w:jc w:val="both"/>
      </w:pPr>
      <w:r>
        <w:rPr>
          <w:rStyle w:val="CharStyle5"/>
        </w:rPr>
        <w:t xml:space="preserve">Art. 47. Nos casos de necessidade temporária de </w:t>
      </w:r>
      <w:r>
        <w:rPr>
          <w:rStyle w:val="CharStyle5"/>
          <w:lang w:val="pt-BR" w:eastAsia="pt-BR" w:bidi="pt-BR"/>
        </w:rPr>
        <w:t xml:space="preserve">excepcional </w:t>
      </w:r>
      <w:r>
        <w:rPr>
          <w:rStyle w:val="CharStyle5"/>
        </w:rPr>
        <w:t xml:space="preserve">interesse público, </w:t>
      </w:r>
      <w:r>
        <w:rPr>
          <w:rStyle w:val="CharStyle5"/>
          <w:lang w:val="pt-BR" w:eastAsia="pt-BR" w:bidi="pt-BR"/>
        </w:rPr>
        <w:t xml:space="preserve">devidamente </w:t>
      </w:r>
      <w:r>
        <w:rPr>
          <w:rStyle w:val="CharStyle5"/>
        </w:rPr>
        <w:t>justificada pela autoridade competente, a Administração Municipal poderá autorizar a realização de horas extras pelos servidores, quando as despesas com pessoal não excederem a 95% (noventa e cinco por cento) do limite estabelecido no art. 20, inciso III, da LRF (art. 22, parágrafo único, inciso V, da LRF).</w:t>
      </w:r>
    </w:p>
    <w:p>
      <w:pPr>
        <w:pStyle w:val="Style4"/>
        <w:keepNext w:val="0"/>
        <w:keepLines w:val="0"/>
        <w:widowControl w:val="0"/>
        <w:shd w:val="clear" w:color="auto" w:fill="auto"/>
        <w:bidi w:val="0"/>
        <w:spacing w:before="0"/>
        <w:ind w:left="0" w:right="0" w:firstLine="580"/>
        <w:jc w:val="both"/>
      </w:pPr>
      <w:r>
        <w:rPr>
          <w:rStyle w:val="CharStyle5"/>
        </w:rPr>
        <w:t>Art. 48. O Poder Executivo Municipal adotará as seguintes medidas para reduzir as despesas com pessoal, caso elas ultrapassem os limites estabelecidos na LRF (arts. 19 e 20 da LRF):</w:t>
      </w:r>
    </w:p>
    <w:p>
      <w:pPr>
        <w:pStyle w:val="Style4"/>
        <w:keepNext w:val="0"/>
        <w:keepLines w:val="0"/>
        <w:widowControl w:val="0"/>
        <w:shd w:val="clear" w:color="auto" w:fill="auto"/>
        <w:bidi w:val="0"/>
        <w:spacing w:before="0" w:after="220" w:line="240" w:lineRule="auto"/>
        <w:ind w:left="0" w:right="0" w:firstLine="580"/>
        <w:jc w:val="both"/>
      </w:pPr>
      <w:r>
        <w:rPr>
          <w:rStyle w:val="CharStyle5"/>
        </w:rPr>
        <w:t>I - eliminação de vantagens concedidas a servidores;</w:t>
      </w:r>
    </w:p>
    <w:p>
      <w:pPr>
        <w:pStyle w:val="Style4"/>
        <w:keepNext w:val="0"/>
        <w:keepLines w:val="0"/>
        <w:widowControl w:val="0"/>
        <w:shd w:val="clear" w:color="auto" w:fill="auto"/>
        <w:bidi w:val="0"/>
        <w:spacing w:before="0" w:after="220" w:line="240" w:lineRule="auto"/>
        <w:ind w:left="0" w:right="0" w:firstLine="580"/>
        <w:jc w:val="both"/>
      </w:pPr>
      <w:r>
        <w:rPr>
          <w:rStyle w:val="CharStyle5"/>
        </w:rPr>
        <w:t xml:space="preserve">!l - </w:t>
      </w:r>
      <w:r>
        <w:rPr>
          <w:rStyle w:val="CharStyle5"/>
          <w:lang w:val="pt-BR" w:eastAsia="pt-BR" w:bidi="pt-BR"/>
        </w:rPr>
        <w:t xml:space="preserve">elíminaçao </w:t>
      </w:r>
      <w:r>
        <w:rPr>
          <w:rStyle w:val="CharStyle5"/>
        </w:rPr>
        <w:t>das despesas com horas-extras;</w:t>
      </w:r>
    </w:p>
    <w:p>
      <w:pPr>
        <w:pStyle w:val="Style4"/>
        <w:keepNext w:val="0"/>
        <w:keepLines w:val="0"/>
        <w:widowControl w:val="0"/>
        <w:shd w:val="clear" w:color="auto" w:fill="auto"/>
        <w:bidi w:val="0"/>
        <w:spacing w:before="0" w:after="220" w:line="240" w:lineRule="auto"/>
        <w:ind w:left="0" w:right="0" w:firstLine="580"/>
        <w:jc w:val="both"/>
      </w:pPr>
      <w:r>
        <w:rPr>
          <w:rStyle w:val="CharStyle5"/>
        </w:rPr>
        <w:t>III - exoneração de servidores ocupantes de cargo em comissão; e</w:t>
      </w:r>
    </w:p>
    <w:p>
      <w:pPr>
        <w:pStyle w:val="Style4"/>
        <w:keepNext w:val="0"/>
        <w:keepLines w:val="0"/>
        <w:widowControl w:val="0"/>
        <w:shd w:val="clear" w:color="auto" w:fill="auto"/>
        <w:bidi w:val="0"/>
        <w:spacing w:before="0" w:after="220" w:line="240" w:lineRule="auto"/>
        <w:ind w:left="0" w:right="0" w:firstLine="580"/>
        <w:jc w:val="both"/>
      </w:pPr>
      <w:r>
        <w:rPr>
          <w:rStyle w:val="CharStyle5"/>
        </w:rPr>
        <w:t>IV - demissão de servidores admitidos em caráter temporário.</w:t>
      </w:r>
    </w:p>
    <w:p>
      <w:pPr>
        <w:pStyle w:val="Style4"/>
        <w:keepNext w:val="0"/>
        <w:keepLines w:val="0"/>
        <w:widowControl w:val="0"/>
        <w:shd w:val="clear" w:color="auto" w:fill="auto"/>
        <w:bidi w:val="0"/>
        <w:spacing w:before="0" w:after="220" w:line="341" w:lineRule="auto"/>
        <w:ind w:left="0" w:right="0" w:firstLine="580"/>
        <w:jc w:val="both"/>
      </w:pPr>
      <w:r>
        <w:drawing>
          <wp:anchor distT="0" distB="0" distL="12700" distR="12700" simplePos="0" relativeHeight="125829388" behindDoc="0" locked="0" layoutInCell="1" allowOverlap="1">
            <wp:simplePos x="0" y="0"/>
            <wp:positionH relativeFrom="page">
              <wp:posOffset>6794500</wp:posOffset>
            </wp:positionH>
            <wp:positionV relativeFrom="paragraph">
              <wp:posOffset>609600</wp:posOffset>
            </wp:positionV>
            <wp:extent cx="316865" cy="499745"/>
            <wp:wrapSquare wrapText="bothSides"/>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31"/>
                    <a:stretch/>
                  </pic:blipFill>
                  <pic:spPr>
                    <a:xfrm>
                      <a:ext cx="316865" cy="499745"/>
                    </a:xfrm>
                    <a:prstGeom prst="rect"/>
                  </pic:spPr>
                </pic:pic>
              </a:graphicData>
            </a:graphic>
          </wp:anchor>
        </w:drawing>
      </w:r>
      <w:r>
        <w:rPr>
          <w:rStyle w:val="CharStyle5"/>
        </w:rPr>
        <w:t xml:space="preserve">Art 49 Para efeito desta Lei e dos registros </w:t>
      </w:r>
      <w:r>
        <w:rPr>
          <w:rStyle w:val="CharStyle5"/>
          <w:lang w:val="pt-BR" w:eastAsia="pt-BR" w:bidi="pt-BR"/>
        </w:rPr>
        <w:t xml:space="preserve">contábeis, entende-se </w:t>
      </w:r>
      <w:r>
        <w:rPr>
          <w:rStyle w:val="CharStyle5"/>
        </w:rPr>
        <w:t xml:space="preserve">como </w:t>
      </w:r>
      <w:r>
        <w:rPr>
          <w:rStyle w:val="CharStyle5"/>
          <w:lang w:val="pt-BR" w:eastAsia="pt-BR" w:bidi="pt-BR"/>
        </w:rPr>
        <w:t xml:space="preserve">terceirização </w:t>
      </w:r>
      <w:r>
        <w:rPr>
          <w:rStyle w:val="CharStyle5"/>
        </w:rPr>
        <w:t>de mão de obra referente à substituição de servidores, de que trata o art. 18, § l</w:t>
      </w:r>
      <w:r>
        <w:rPr>
          <w:rStyle w:val="CharStyle5"/>
          <w:vertAlign w:val="superscript"/>
        </w:rPr>
        <w:t>9</w:t>
      </w:r>
      <w:r>
        <w:rPr>
          <w:rStyle w:val="CharStyle5"/>
        </w:rPr>
        <w:t xml:space="preserve">, </w:t>
      </w:r>
      <w:r>
        <w:rPr>
          <w:rStyle w:val="CharStyle5"/>
          <w:b/>
          <w:bCs/>
        </w:rPr>
        <w:t>da Lei Complementar n</w:t>
      </w:r>
      <w:r>
        <w:rPr>
          <w:rStyle w:val="CharStyle5"/>
          <w:b/>
          <w:bCs/>
          <w:vertAlign w:val="superscript"/>
        </w:rPr>
        <w:t>9</w:t>
      </w:r>
      <w:r>
        <w:rPr>
          <w:rStyle w:val="CharStyle5"/>
          <w:b/>
          <w:bCs/>
        </w:rPr>
        <w:t xml:space="preserve"> 101, de 4 de maio de 2000 (Lei de Responsabilidade Fiscal - LRF), </w:t>
      </w:r>
      <w:r>
        <w:rPr>
          <w:rStyle w:val="CharStyle5"/>
        </w:rPr>
        <w:t>a contratação de mão de obra cujas atividades ou funções guardem relação com atividades ou funções previstas no Plano de Cargos</w:t>
      </w:r>
    </w:p>
    <w:p>
      <w:pPr>
        <w:widowControl w:val="0"/>
        <w:jc w:val="center"/>
        <w:rPr>
          <w:sz w:val="2"/>
          <w:szCs w:val="2"/>
        </w:rPr>
      </w:pPr>
      <w:r>
        <w:drawing>
          <wp:inline>
            <wp:extent cx="853440" cy="591185"/>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3"/>
                    <a:stretch/>
                  </pic:blipFill>
                  <pic:spPr>
                    <a:xfrm>
                      <a:ext cx="853440" cy="591185"/>
                    </a:xfrm>
                    <a:prstGeom prst="rect"/>
                  </pic:spPr>
                </pic:pic>
              </a:graphicData>
            </a:graphic>
          </wp:inline>
        </w:drawing>
      </w:r>
    </w:p>
    <w:p>
      <w:pPr>
        <w:widowControl w:val="0"/>
        <w:spacing w:after="159" w:line="1" w:lineRule="exact"/>
      </w:pPr>
    </w:p>
    <w:p>
      <w:pPr>
        <w:pStyle w:val="Style6"/>
        <w:keepNext/>
        <w:keepLines/>
        <w:widowControl w:val="0"/>
        <w:shd w:val="clear" w:color="auto" w:fill="auto"/>
        <w:bidi w:val="0"/>
        <w:spacing w:before="0" w:after="0" w:line="240" w:lineRule="auto"/>
        <w:ind w:left="0" w:right="0" w:firstLine="0"/>
        <w:jc w:val="center"/>
        <w:rPr>
          <w:sz w:val="22"/>
          <w:szCs w:val="22"/>
        </w:rPr>
      </w:pPr>
      <w:bookmarkStart w:id="51" w:name="bookmark51"/>
      <w:r>
        <w:rPr>
          <w:rStyle w:val="CharStyle7"/>
          <w:rFonts w:ascii="Times New Roman" w:eastAsia="Times New Roman" w:hAnsi="Times New Roman" w:cs="Times New Roman"/>
          <w:b/>
          <w:bCs/>
          <w:sz w:val="22"/>
          <w:szCs w:val="22"/>
        </w:rPr>
        <w:t>PREFEITURA MUNICIPAL DE CAREIRO DA VÁRZEA</w:t>
      </w:r>
      <w:bookmarkEnd w:id="51"/>
    </w:p>
    <w:p>
      <w:pPr>
        <w:pStyle w:val="Style9"/>
        <w:keepNext w:val="0"/>
        <w:keepLines w:val="0"/>
        <w:widowControl w:val="0"/>
        <w:shd w:val="clear" w:color="auto" w:fill="auto"/>
        <w:tabs>
          <w:tab w:pos="1296" w:val="left"/>
        </w:tabs>
        <w:bidi w:val="0"/>
        <w:spacing w:before="0" w:after="0" w:line="240" w:lineRule="auto"/>
        <w:ind w:left="0" w:right="0" w:firstLine="0"/>
        <w:jc w:val="center"/>
      </w:pPr>
      <w:r>
        <w:rPr>
          <w:rStyle w:val="CharStyle10"/>
          <w:b/>
          <w:bCs/>
        </w:rPr>
        <w:t>4</w:t>
        <w:tab/>
        <w:t>T»r» T? TT’^</w:t>
      </w:r>
    </w:p>
    <w:p>
      <w:pPr>
        <w:pStyle w:val="Style9"/>
        <w:keepNext w:val="0"/>
        <w:keepLines w:val="0"/>
        <w:widowControl w:val="0"/>
        <w:shd w:val="clear" w:color="auto" w:fill="auto"/>
        <w:tabs>
          <w:tab w:pos="2117" w:val="left"/>
        </w:tabs>
        <w:bidi w:val="0"/>
        <w:spacing w:before="0" w:line="180" w:lineRule="auto"/>
        <w:ind w:left="0" w:right="0" w:firstLine="0"/>
        <w:jc w:val="center"/>
      </w:pPr>
      <w:r>
        <w:rPr>
          <w:rStyle w:val="CharStyle10"/>
          <w:b/>
          <w:bCs/>
        </w:rPr>
        <w:t xml:space="preserve">UAD111JD 1 fb </w:t>
      </w:r>
      <w:r>
        <w:rPr>
          <w:rStyle w:val="CharStyle10"/>
          <w:b/>
          <w:bCs/>
          <w:i/>
          <w:iCs/>
        </w:rPr>
        <w:t>w</w:t>
      </w:r>
      <w:r>
        <w:rPr>
          <w:rStyle w:val="CharStyle10"/>
          <w:b/>
          <w:bCs/>
        </w:rPr>
        <w:t xml:space="preserve"> 1“</w:t>
        <w:tab/>
        <w:t>ÍL1 1 V7</w:t>
      </w:r>
    </w:p>
    <w:p>
      <w:pPr>
        <w:pStyle w:val="Style4"/>
        <w:keepNext w:val="0"/>
        <w:keepLines w:val="0"/>
        <w:widowControl w:val="0"/>
        <w:shd w:val="clear" w:color="auto" w:fill="auto"/>
        <w:bidi w:val="0"/>
        <w:spacing w:before="0" w:line="350" w:lineRule="auto"/>
        <w:ind w:left="0" w:right="0" w:firstLine="0"/>
        <w:jc w:val="both"/>
      </w:pPr>
      <w:r>
        <w:rPr>
          <w:rStyle w:val="CharStyle5"/>
        </w:rPr>
        <w:t>Administração Municipal ou, ainda, com atividades próprias da Administração Pública Municipal, desde que, em ambos os casos, não haja utilização de materiais ou equipamentos de propriedade do contratado ou de terceiros.</w:t>
      </w:r>
    </w:p>
    <w:p>
      <w:pPr>
        <w:pStyle w:val="Style4"/>
        <w:keepNext w:val="0"/>
        <w:keepLines w:val="0"/>
        <w:widowControl w:val="0"/>
        <w:shd w:val="clear" w:color="auto" w:fill="auto"/>
        <w:bidi w:val="0"/>
        <w:spacing w:before="0" w:after="560" w:line="350" w:lineRule="auto"/>
        <w:ind w:left="0" w:right="0" w:firstLine="580"/>
        <w:jc w:val="both"/>
      </w:pPr>
      <w:r>
        <w:rPr>
          <w:rStyle w:val="CharStyle5"/>
        </w:rPr>
        <w:t xml:space="preserve">Parágrafo único. Quando a contratação de mão de obra envolver também o fornecimento de materiais ou a utilização de equipamentos de propriedade do contratado ou de terceiros, por não </w:t>
      </w:r>
      <w:r>
        <w:rPr>
          <w:rStyle w:val="CharStyle5"/>
          <w:lang w:val="pt-BR" w:eastAsia="pt-BR" w:bidi="pt-BR"/>
        </w:rPr>
        <w:t xml:space="preserve">caracterizar </w:t>
      </w:r>
      <w:r>
        <w:rPr>
          <w:rStyle w:val="CharStyle5"/>
        </w:rPr>
        <w:t xml:space="preserve">substituição de servidores, a despesa será classificada em outros elementos de despesa, que não o </w:t>
      </w:r>
      <w:r>
        <w:rPr>
          <w:rStyle w:val="CharStyle5"/>
          <w:b/>
          <w:bCs/>
        </w:rPr>
        <w:t xml:space="preserve">elemento "34 - Outras Despesas de Pessoal decorrentes de Contratos de </w:t>
      </w:r>
      <w:r>
        <w:rPr>
          <w:rStyle w:val="CharStyle5"/>
          <w:b/>
          <w:bCs/>
          <w:lang w:val="pt-BR" w:eastAsia="pt-BR" w:bidi="pt-BR"/>
        </w:rPr>
        <w:t>Terceirização".</w:t>
      </w:r>
    </w:p>
    <w:p>
      <w:pPr>
        <w:pStyle w:val="Style4"/>
        <w:keepNext w:val="0"/>
        <w:keepLines w:val="0"/>
        <w:widowControl w:val="0"/>
        <w:shd w:val="clear" w:color="auto" w:fill="auto"/>
        <w:bidi w:val="0"/>
        <w:spacing w:before="0" w:after="200" w:line="240" w:lineRule="auto"/>
        <w:ind w:left="0" w:right="0" w:firstLine="0"/>
        <w:jc w:val="center"/>
      </w:pPr>
      <w:r>
        <w:rPr>
          <w:rStyle w:val="CharStyle5"/>
        </w:rPr>
        <w:t>CAPÍTULO VII</w:t>
      </w:r>
    </w:p>
    <w:p>
      <w:pPr>
        <w:pStyle w:val="Style4"/>
        <w:keepNext w:val="0"/>
        <w:keepLines w:val="0"/>
        <w:widowControl w:val="0"/>
        <w:shd w:val="clear" w:color="auto" w:fill="auto"/>
        <w:bidi w:val="0"/>
        <w:spacing w:before="0" w:after="200" w:line="240" w:lineRule="auto"/>
        <w:ind w:left="0" w:right="0" w:firstLine="0"/>
        <w:jc w:val="center"/>
      </w:pPr>
      <w:r>
        <w:rPr>
          <w:rStyle w:val="CharStyle5"/>
        </w:rPr>
        <w:t>DAS DISPOSIÇÕES SOBRE ALTERAÇÃO NA LEGISLAÇÃO TRIBUTÁRIA</w:t>
      </w:r>
    </w:p>
    <w:p>
      <w:pPr>
        <w:pStyle w:val="Style4"/>
        <w:keepNext w:val="0"/>
        <w:keepLines w:val="0"/>
        <w:widowControl w:val="0"/>
        <w:shd w:val="clear" w:color="auto" w:fill="auto"/>
        <w:bidi w:val="0"/>
        <w:spacing w:before="0" w:line="360" w:lineRule="auto"/>
        <w:ind w:left="0" w:right="0" w:firstLine="580"/>
        <w:jc w:val="both"/>
      </w:pPr>
      <w:r>
        <w:rPr>
          <w:rStyle w:val="CharStyle5"/>
        </w:rPr>
        <w:t xml:space="preserve">Ari. 50. O Executivo Municipal, quando autorizado em lei, poderá conceder ou ampliar benefício fiscal de natureza tributária com vistas a estimular o crescimento </w:t>
      </w:r>
      <w:r>
        <w:rPr>
          <w:rStyle w:val="CharStyle5"/>
          <w:lang w:val="pt-BR" w:eastAsia="pt-BR" w:bidi="pt-BR"/>
        </w:rPr>
        <w:t xml:space="preserve">econômico, </w:t>
      </w:r>
      <w:r>
        <w:rPr>
          <w:rStyle w:val="CharStyle5"/>
        </w:rPr>
        <w:t xml:space="preserve">a geração de empregos e renda ou beneficiar contribuintes integrantes de classes menos favorecidas, devendo esses benefícios ser considerados no cálculo do orçamento da receita e serem objeto de estudos do seu impacto </w:t>
      </w:r>
      <w:r>
        <w:rPr>
          <w:rStyle w:val="CharStyle5"/>
          <w:sz w:val="16"/>
          <w:szCs w:val="16"/>
        </w:rPr>
        <w:t xml:space="preserve">nrrampntárin p finanrpirn nn pxprrírio pm nup iniciar çiia viapnria p nns dniç çiih^pnripntpç (art 14 da </w:t>
      </w:r>
      <w:r>
        <w:rPr>
          <w:rStyle w:val="CharStyle5"/>
        </w:rPr>
        <w:t>LRF).</w:t>
      </w:r>
    </w:p>
    <w:p>
      <w:pPr>
        <w:pStyle w:val="Style4"/>
        <w:keepNext w:val="0"/>
        <w:keepLines w:val="0"/>
        <w:widowControl w:val="0"/>
        <w:shd w:val="clear" w:color="auto" w:fill="auto"/>
        <w:bidi w:val="0"/>
        <w:spacing w:before="0" w:line="350" w:lineRule="auto"/>
        <w:ind w:left="0" w:right="0" w:firstLine="580"/>
        <w:jc w:val="both"/>
      </w:pPr>
      <w:r>
        <w:rPr>
          <w:rStyle w:val="CharStyle5"/>
        </w:rPr>
        <w:t>Art. 51. Os tributos lançados e não arrecadados, inscritos em dívida ativa, cujos custos para cobrança sejam superiores ao crédito tributário, poderão ser cancelados, mediante autorização em lei, não se constituindo como renúncia de receita (art. 14, § 3</w:t>
      </w:r>
      <w:r>
        <w:rPr>
          <w:rStyle w:val="CharStyle5"/>
          <w:vertAlign w:val="superscript"/>
        </w:rPr>
        <w:t>?</w:t>
      </w:r>
      <w:r>
        <w:rPr>
          <w:rStyle w:val="CharStyle5"/>
        </w:rPr>
        <w:t>, da LRF).</w:t>
      </w:r>
    </w:p>
    <w:p>
      <w:pPr>
        <w:pStyle w:val="Style4"/>
        <w:keepNext w:val="0"/>
        <w:keepLines w:val="0"/>
        <w:widowControl w:val="0"/>
        <w:shd w:val="clear" w:color="auto" w:fill="auto"/>
        <w:bidi w:val="0"/>
        <w:spacing w:before="0" w:after="560"/>
        <w:ind w:left="0" w:right="0" w:firstLine="580"/>
        <w:jc w:val="both"/>
      </w:pPr>
      <w:r>
        <w:rPr>
          <w:rStyle w:val="CharStyle5"/>
        </w:rPr>
        <w:t>Art. 52. O ato que conceder ou ampliar incentivo, isenção ou benefício de natureza tributária ou financeira constante do Orçamento da Receita somente entrará em vigor após a adoção de medidas de compensação (art. 14, § 2^, da LRF).</w:t>
      </w:r>
    </w:p>
    <w:p>
      <w:pPr>
        <w:pStyle w:val="Style4"/>
        <w:keepNext w:val="0"/>
        <w:keepLines w:val="0"/>
        <w:widowControl w:val="0"/>
        <w:shd w:val="clear" w:color="auto" w:fill="auto"/>
        <w:bidi w:val="0"/>
        <w:spacing w:before="0" w:after="200" w:line="240" w:lineRule="auto"/>
        <w:ind w:left="0" w:right="0" w:firstLine="0"/>
        <w:jc w:val="center"/>
      </w:pPr>
      <w:r>
        <w:rPr>
          <w:rStyle w:val="CharStyle5"/>
        </w:rPr>
        <w:t>CAPÍTULO VIII</w:t>
      </w:r>
    </w:p>
    <w:p>
      <w:pPr>
        <w:pStyle w:val="Style4"/>
        <w:keepNext w:val="0"/>
        <w:keepLines w:val="0"/>
        <w:widowControl w:val="0"/>
        <w:shd w:val="clear" w:color="auto" w:fill="auto"/>
        <w:bidi w:val="0"/>
        <w:spacing w:before="0" w:after="200" w:line="240" w:lineRule="auto"/>
        <w:ind w:left="0" w:right="0" w:firstLine="0"/>
        <w:jc w:val="center"/>
      </w:pPr>
      <w:r>
        <w:rPr>
          <w:rStyle w:val="CharStyle5"/>
        </w:rPr>
        <w:t>DAS DISPOSIÇÕES GERAIS</w:t>
      </w:r>
    </w:p>
    <w:p>
      <w:pPr>
        <w:pStyle w:val="Style4"/>
        <w:keepNext w:val="0"/>
        <w:keepLines w:val="0"/>
        <w:widowControl w:val="0"/>
        <w:shd w:val="clear" w:color="auto" w:fill="auto"/>
        <w:bidi w:val="0"/>
        <w:spacing w:before="0" w:line="350" w:lineRule="auto"/>
        <w:ind w:left="0" w:right="0" w:firstLine="580"/>
        <w:jc w:val="both"/>
      </w:pPr>
      <w:r>
        <w:rPr>
          <w:rStyle w:val="CharStyle5"/>
        </w:rPr>
        <w:t xml:space="preserve">Art. 53. </w:t>
      </w:r>
      <w:r>
        <w:rPr>
          <w:rStyle w:val="CharStyle5"/>
          <w:b/>
          <w:bCs/>
        </w:rPr>
        <w:t xml:space="preserve">O Poder Executivo </w:t>
      </w:r>
      <w:r>
        <w:rPr>
          <w:rStyle w:val="CharStyle5"/>
        </w:rPr>
        <w:t xml:space="preserve">encaminhará a proposta </w:t>
      </w:r>
      <w:r>
        <w:rPr>
          <w:rStyle w:val="CharStyle5"/>
          <w:lang w:val="pt-BR" w:eastAsia="pt-BR" w:bidi="pt-BR"/>
        </w:rPr>
        <w:t xml:space="preserve">orçamentária </w:t>
      </w:r>
      <w:r>
        <w:rPr>
          <w:rStyle w:val="CharStyle5"/>
        </w:rPr>
        <w:t>à Câmara Municipal no prazo estabelecido na Lei Orgânica do Município, que a apreciará e a devolverá para sanção até o encerramento do período legislativo anual.</w:t>
      </w:r>
    </w:p>
    <w:p>
      <w:pPr>
        <w:pStyle w:val="Style4"/>
        <w:keepNext w:val="0"/>
        <w:keepLines w:val="0"/>
        <w:widowControl w:val="0"/>
        <w:shd w:val="clear" w:color="auto" w:fill="auto"/>
        <w:bidi w:val="0"/>
        <w:spacing w:before="0" w:line="346" w:lineRule="auto"/>
        <w:ind w:left="0" w:right="0" w:firstLine="580"/>
        <w:jc w:val="both"/>
      </w:pPr>
      <w:r>
        <w:rPr>
          <w:rStyle w:val="CharStyle5"/>
        </w:rPr>
        <w:t>§ l</w:t>
      </w:r>
      <w:r>
        <w:rPr>
          <w:rStyle w:val="CharStyle5"/>
          <w:vertAlign w:val="superscript"/>
        </w:rPr>
        <w:t>g</w:t>
      </w:r>
      <w:r>
        <w:rPr>
          <w:rStyle w:val="CharStyle5"/>
        </w:rPr>
        <w:t xml:space="preserve"> A Câmara Municipal não entrará em recesso enquanto não cumprir o disposto no "caput" deste artigo.</w:t>
      </w:r>
    </w:p>
    <w:p>
      <w:pPr>
        <w:pStyle w:val="Style4"/>
        <w:keepNext w:val="0"/>
        <w:keepLines w:val="0"/>
        <w:widowControl w:val="0"/>
        <w:shd w:val="clear" w:color="auto" w:fill="auto"/>
        <w:bidi w:val="0"/>
        <w:spacing w:before="0"/>
        <w:ind w:left="0" w:right="0" w:firstLine="580"/>
        <w:jc w:val="both"/>
      </w:pPr>
      <w:r>
        <w:rPr>
          <w:rStyle w:val="CharStyle5"/>
        </w:rPr>
        <w:t xml:space="preserve">§ 2- Se o projeto de lei </w:t>
      </w:r>
      <w:r>
        <w:rPr>
          <w:rStyle w:val="CharStyle5"/>
          <w:lang w:val="pt-BR" w:eastAsia="pt-BR" w:bidi="pt-BR"/>
        </w:rPr>
        <w:t xml:space="preserve">orçamentária </w:t>
      </w:r>
      <w:r>
        <w:rPr>
          <w:rStyle w:val="CharStyle5"/>
        </w:rPr>
        <w:t xml:space="preserve">anual não for encaminhado à sanção até o início do exercício financeiro de </w:t>
      </w:r>
      <w:r>
        <w:rPr>
          <w:rStyle w:val="CharStyle5"/>
          <w:b/>
          <w:bCs/>
        </w:rPr>
        <w:t xml:space="preserve">2027, </w:t>
      </w:r>
      <w:r>
        <w:rPr>
          <w:rStyle w:val="CharStyle5"/>
        </w:rPr>
        <w:t xml:space="preserve">fica </w:t>
      </w:r>
      <w:r>
        <w:rPr>
          <w:rStyle w:val="CharStyle5"/>
          <w:b/>
          <w:bCs/>
        </w:rPr>
        <w:t xml:space="preserve">o Poder Executivo </w:t>
      </w:r>
      <w:r>
        <w:rPr>
          <w:rStyle w:val="CharStyle5"/>
        </w:rPr>
        <w:t xml:space="preserve">autorizado a executar a proposta </w:t>
      </w:r>
      <w:r>
        <w:rPr>
          <w:rStyle w:val="CharStyle5"/>
          <w:lang w:val="pt-BR" w:eastAsia="pt-BR" w:bidi="pt-BR"/>
        </w:rPr>
        <w:t xml:space="preserve">orçamentária </w:t>
      </w:r>
      <w:r>
        <w:rPr>
          <w:rStyle w:val="CharStyle5"/>
        </w:rPr>
        <w:t xml:space="preserve">na forma original, até a sanção da </w:t>
      </w:r>
      <w:r>
        <w:rPr>
          <w:rStyle w:val="CharStyle5"/>
          <w:lang w:val="pt-BR" w:eastAsia="pt-BR" w:bidi="pt-BR"/>
        </w:rPr>
        <w:t xml:space="preserve">respectiva </w:t>
      </w:r>
      <w:r>
        <w:rPr>
          <w:rStyle w:val="CharStyle5"/>
        </w:rPr>
        <w:t xml:space="preserve">lei </w:t>
      </w:r>
      <w:r>
        <w:rPr>
          <w:rStyle w:val="CharStyle5"/>
          <w:lang w:val="pt-BR" w:eastAsia="pt-BR" w:bidi="pt-BR"/>
        </w:rPr>
        <w:t xml:space="preserve">orçamentária </w:t>
      </w:r>
      <w:r>
        <w:rPr>
          <w:rStyle w:val="CharStyle5"/>
        </w:rPr>
        <w:t>anual.</w:t>
      </w:r>
    </w:p>
    <w:p>
      <w:pPr>
        <w:pStyle w:val="Style4"/>
        <w:keepNext w:val="0"/>
        <w:keepLines w:val="0"/>
        <w:widowControl w:val="0"/>
        <w:shd w:val="clear" w:color="auto" w:fill="auto"/>
        <w:bidi w:val="0"/>
        <w:spacing w:before="0" w:after="40"/>
        <w:ind w:left="0" w:right="0" w:firstLine="580"/>
        <w:jc w:val="both"/>
      </w:pPr>
      <w:r>
        <w:rPr>
          <w:rStyle w:val="CharStyle5"/>
        </w:rPr>
        <w:t>Art. 54. Serão consideradas legais as despesas com multas e juros pelo eventual atraso no pagamento de compromissos assumidos, motivados por insuficiência de tesouraria.</w:t>
      </w:r>
    </w:p>
    <w:p>
      <w:pPr>
        <w:widowControl w:val="0"/>
        <w:jc w:val="right"/>
        <w:rPr>
          <w:sz w:val="2"/>
          <w:szCs w:val="2"/>
        </w:rPr>
      </w:pPr>
      <w:r>
        <w:drawing>
          <wp:inline>
            <wp:extent cx="323215" cy="469265"/>
            <wp:docPr id="27" name="Picutre 27"/>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5"/>
                    <a:stretch/>
                  </pic:blipFill>
                  <pic:spPr>
                    <a:xfrm>
                      <a:ext cx="323215" cy="469265"/>
                    </a:xfrm>
                    <a:prstGeom prst="rect"/>
                  </pic:spPr>
                </pic:pic>
              </a:graphicData>
            </a:graphic>
          </wp:inline>
        </w:drawing>
      </w:r>
    </w:p>
    <w:p>
      <w:pPr>
        <w:widowControl w:val="0"/>
        <w:spacing w:line="1" w:lineRule="exact"/>
      </w:pPr>
    </w:p>
    <w:p>
      <w:pPr>
        <w:widowControl w:val="0"/>
        <w:jc w:val="center"/>
        <w:rPr>
          <w:sz w:val="2"/>
          <w:szCs w:val="2"/>
        </w:rPr>
      </w:pPr>
      <w:r>
        <w:drawing>
          <wp:inline>
            <wp:extent cx="859790" cy="585470"/>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7"/>
                    <a:stretch/>
                  </pic:blipFill>
                  <pic:spPr>
                    <a:xfrm>
                      <a:ext cx="859790" cy="585470"/>
                    </a:xfrm>
                    <a:prstGeom prst="rect"/>
                  </pic:spPr>
                </pic:pic>
              </a:graphicData>
            </a:graphic>
          </wp:inline>
        </w:drawing>
      </w:r>
    </w:p>
    <w:p>
      <w:pPr>
        <w:widowControl w:val="0"/>
        <w:spacing w:after="179" w:line="1" w:lineRule="exact"/>
      </w:pPr>
    </w:p>
    <w:p>
      <w:pPr>
        <w:pStyle w:val="Style6"/>
        <w:keepNext/>
        <w:keepLines/>
        <w:widowControl w:val="0"/>
        <w:shd w:val="clear" w:color="auto" w:fill="auto"/>
        <w:tabs>
          <w:tab w:pos="2642" w:val="left"/>
        </w:tabs>
        <w:bidi w:val="0"/>
        <w:spacing w:before="0" w:after="0" w:line="166" w:lineRule="auto"/>
        <w:ind w:left="0" w:right="0" w:firstLine="0"/>
        <w:jc w:val="center"/>
        <w:rPr>
          <w:sz w:val="9"/>
          <w:szCs w:val="9"/>
        </w:rPr>
      </w:pPr>
      <w:bookmarkStart w:id="53" w:name="bookmark53"/>
      <w:r>
        <w:rPr>
          <w:rStyle w:val="CharStyle7"/>
          <w:rFonts w:ascii="Times New Roman" w:eastAsia="Times New Roman" w:hAnsi="Times New Roman" w:cs="Times New Roman"/>
          <w:b/>
          <w:bCs/>
          <w:sz w:val="22"/>
          <w:szCs w:val="22"/>
          <w:lang w:val="pt-BR" w:eastAsia="pt-BR" w:bidi="pt-BR"/>
        </w:rPr>
        <w:t>PREFEITURA MUNICIPAL DE CAREIRO DA VÁRZEA</w:t>
        <w:br/>
      </w:r>
      <w:r>
        <w:rPr>
          <w:rStyle w:val="CharStyle7"/>
          <w:rFonts w:ascii="Times New Roman" w:eastAsia="Times New Roman" w:hAnsi="Times New Roman" w:cs="Times New Roman"/>
          <w:b/>
          <w:bCs/>
          <w:smallCaps/>
          <w:sz w:val="16"/>
          <w:szCs w:val="16"/>
          <w:lang w:val="pt-BR" w:eastAsia="pt-BR" w:bidi="pt-BR"/>
        </w:rPr>
        <w:t>a</w:t>
      </w:r>
      <w:r>
        <w:rPr>
          <w:rStyle w:val="CharStyle7"/>
          <w:b/>
          <w:bCs/>
          <w:sz w:val="9"/>
          <w:szCs w:val="9"/>
          <w:lang w:val="pt-BR" w:eastAsia="pt-BR" w:bidi="pt-BR"/>
        </w:rPr>
        <w:tab/>
        <w:t>nr*</w:t>
      </w:r>
      <w:bookmarkEnd w:id="53"/>
    </w:p>
    <w:p>
      <w:pPr>
        <w:pStyle w:val="Style9"/>
        <w:keepNext w:val="0"/>
        <w:keepLines w:val="0"/>
        <w:widowControl w:val="0"/>
        <w:shd w:val="clear" w:color="auto" w:fill="auto"/>
        <w:bidi w:val="0"/>
        <w:spacing w:before="0" w:line="180" w:lineRule="auto"/>
        <w:ind w:left="0" w:right="0" w:firstLine="0"/>
        <w:jc w:val="center"/>
      </w:pPr>
      <w:r>
        <w:rPr>
          <w:rStyle w:val="CharStyle10"/>
          <w:b/>
          <w:bCs/>
          <w:smallCaps/>
          <w:sz w:val="16"/>
          <w:szCs w:val="16"/>
          <w:lang w:val="pt-BR" w:eastAsia="pt-BR" w:bidi="pt-BR"/>
        </w:rPr>
        <w:t xml:space="preserve">vadiulie </w:t>
      </w:r>
      <w:r>
        <w:rPr>
          <w:rStyle w:val="CharStyle10"/>
          <w:b/>
          <w:bCs/>
          <w:i/>
          <w:iCs/>
          <w:lang w:val="pt-BR" w:eastAsia="pt-BR" w:bidi="pt-BR"/>
        </w:rPr>
        <w:t>uv</w:t>
      </w:r>
      <w:r>
        <w:rPr>
          <w:rStyle w:val="CharStyle10"/>
          <w:b/>
          <w:bCs/>
          <w:lang w:val="pt-BR" w:eastAsia="pt-BR" w:bidi="pt-BR"/>
        </w:rPr>
        <w:t xml:space="preserve"> i rviLriLii v/</w:t>
      </w:r>
    </w:p>
    <w:p>
      <w:pPr>
        <w:pStyle w:val="Style4"/>
        <w:keepNext w:val="0"/>
        <w:keepLines w:val="0"/>
        <w:widowControl w:val="0"/>
        <w:shd w:val="clear" w:color="auto" w:fill="auto"/>
        <w:bidi w:val="0"/>
        <w:spacing w:before="0" w:line="350" w:lineRule="auto"/>
        <w:ind w:left="0" w:right="0" w:firstLine="560"/>
        <w:jc w:val="both"/>
      </w:pPr>
      <w:r>
        <w:rPr>
          <w:rStyle w:val="CharStyle5"/>
          <w:lang w:val="pt-BR" w:eastAsia="pt-BR" w:bidi="pt-BR"/>
        </w:rPr>
        <w:t xml:space="preserve">Art. 55. Os créditos especiais e extraordinários, abertos nos últimos quatro meses do exercício e </w:t>
      </w:r>
      <w:r>
        <w:rPr>
          <w:rStyle w:val="CharStyle5"/>
          <w:b/>
          <w:bCs/>
          <w:lang w:val="pt-BR" w:eastAsia="pt-BR" w:bidi="pt-BR"/>
        </w:rPr>
        <w:t xml:space="preserve">não utilizada a totalidade de suas dotações, </w:t>
      </w:r>
      <w:r>
        <w:rPr>
          <w:rStyle w:val="CharStyle5"/>
          <w:lang w:val="pt-BR" w:eastAsia="pt-BR" w:bidi="pt-BR"/>
        </w:rPr>
        <w:t>poderão ser reabertos, no limite de seus saldos, no exercício subsequente, por ato do Chefe do Poder Executivo.</w:t>
      </w:r>
    </w:p>
    <w:p>
      <w:pPr>
        <w:pStyle w:val="Style4"/>
        <w:keepNext w:val="0"/>
        <w:keepLines w:val="0"/>
        <w:widowControl w:val="0"/>
        <w:shd w:val="clear" w:color="auto" w:fill="auto"/>
        <w:bidi w:val="0"/>
        <w:spacing w:before="0"/>
        <w:ind w:left="0" w:right="0" w:firstLine="560"/>
        <w:jc w:val="both"/>
      </w:pPr>
      <w:r>
        <w:rPr>
          <w:rStyle w:val="CharStyle5"/>
          <w:lang w:val="pt-BR" w:eastAsia="pt-BR" w:bidi="pt-BR"/>
        </w:rPr>
        <w:t xml:space="preserve">Parágrafo único. Fica estipulado o percentual de 80% (oitenta por cento) da despesa fixada para abertura de créditos suplementares durante o exercício de </w:t>
      </w:r>
      <w:r>
        <w:rPr>
          <w:rStyle w:val="CharStyle5"/>
          <w:b/>
          <w:bCs/>
          <w:lang w:val="pt-BR" w:eastAsia="pt-BR" w:bidi="pt-BR"/>
        </w:rPr>
        <w:t xml:space="preserve">2027, ressalvadas </w:t>
      </w:r>
      <w:r>
        <w:rPr>
          <w:rStyle w:val="CharStyle5"/>
          <w:lang w:val="pt-BR" w:eastAsia="pt-BR" w:bidi="pt-BR"/>
        </w:rPr>
        <w:t>as destinadas ao reforço de dotações de pessoal e encargos, que não serão computadas nesse limite.</w:t>
      </w:r>
    </w:p>
    <w:p>
      <w:pPr>
        <w:pStyle w:val="Style4"/>
        <w:keepNext w:val="0"/>
        <w:keepLines w:val="0"/>
        <w:widowControl w:val="0"/>
        <w:shd w:val="clear" w:color="auto" w:fill="auto"/>
        <w:bidi w:val="0"/>
        <w:spacing w:before="0"/>
        <w:ind w:left="0" w:right="0" w:firstLine="560"/>
        <w:jc w:val="both"/>
      </w:pPr>
      <w:r>
        <w:rPr>
          <w:rStyle w:val="CharStyle5"/>
          <w:lang w:val="pt-BR" w:eastAsia="pt-BR" w:bidi="pt-BR"/>
        </w:rPr>
        <w:t xml:space="preserve">Art. 56. </w:t>
      </w:r>
      <w:r>
        <w:rPr>
          <w:rStyle w:val="CharStyle5"/>
          <w:b/>
          <w:bCs/>
          <w:lang w:val="pt-BR" w:eastAsia="pt-BR" w:bidi="pt-BR"/>
        </w:rPr>
        <w:t xml:space="preserve">O Poder Executivo </w:t>
      </w:r>
      <w:r>
        <w:rPr>
          <w:rStyle w:val="CharStyle5"/>
          <w:lang w:val="pt-BR" w:eastAsia="pt-BR" w:bidi="pt-BR"/>
        </w:rPr>
        <w:t>fica autorizado a assinar convênios com o Governo Federal e Estadual, por intermédio de seus órgãos da administração direta ou indireta, para realização de obras ou serviços de competência ou não do Município.</w:t>
      </w:r>
    </w:p>
    <w:p>
      <w:pPr>
        <w:pStyle w:val="Style4"/>
        <w:keepNext w:val="0"/>
        <w:keepLines w:val="0"/>
        <w:widowControl w:val="0"/>
        <w:shd w:val="clear" w:color="auto" w:fill="auto"/>
        <w:bidi w:val="0"/>
        <w:spacing w:before="0" w:line="360" w:lineRule="auto"/>
        <w:ind w:left="0" w:right="0" w:firstLine="560"/>
        <w:jc w:val="both"/>
      </w:pPr>
      <w:r>
        <w:rPr>
          <w:rStyle w:val="CharStyle5"/>
          <w:lang w:val="pt-BR" w:eastAsia="pt-BR" w:bidi="pt-BR"/>
        </w:rPr>
        <w:t>Art. 57. O Repasse para a Câmara Municipal será de acordo com o estabelecido no artigo 29-A da Constituição Federal.</w:t>
      </w:r>
    </w:p>
    <w:p>
      <w:pPr>
        <w:pStyle w:val="Style4"/>
        <w:keepNext w:val="0"/>
        <w:keepLines w:val="0"/>
        <w:widowControl w:val="0"/>
        <w:shd w:val="clear" w:color="auto" w:fill="auto"/>
        <w:bidi w:val="0"/>
        <w:spacing w:before="0" w:line="360" w:lineRule="auto"/>
        <w:ind w:left="0" w:right="0" w:firstLine="560"/>
        <w:jc w:val="both"/>
      </w:pPr>
      <w:r>
        <w:rPr>
          <w:rStyle w:val="CharStyle5"/>
          <w:lang w:val="pt-BR" w:eastAsia="pt-BR" w:bidi="pt-BR"/>
        </w:rPr>
        <w:t>Art. 58. A previsão da receita do Imposto sobre Bens e Serviços (IBS), para o exercício de 2027, observará a fase inicial de implementação da reforma tributária instituída pela Emenda Constitucional n^ 132, de 20 de dezembro de 2023, considerando seu impacto ainda reduzido na arrecadação municipal.</w:t>
      </w:r>
    </w:p>
    <w:p>
      <w:pPr>
        <w:pStyle w:val="Style4"/>
        <w:keepNext w:val="0"/>
        <w:keepLines w:val="0"/>
        <w:widowControl w:val="0"/>
        <w:shd w:val="clear" w:color="auto" w:fill="auto"/>
        <w:bidi w:val="0"/>
        <w:spacing w:before="0" w:line="350" w:lineRule="auto"/>
        <w:ind w:left="0" w:right="0" w:firstLine="560"/>
        <w:jc w:val="both"/>
      </w:pPr>
      <w:r>
        <w:rPr>
          <w:rStyle w:val="CharStyle5"/>
          <w:lang w:val="pt-BR" w:eastAsia="pt-BR" w:bidi="pt-BR"/>
        </w:rPr>
        <w:t>§ 1</w:t>
      </w:r>
      <w:r>
        <w:rPr>
          <w:rStyle w:val="CharStyle5"/>
          <w:vertAlign w:val="superscript"/>
          <w:lang w:val="pt-BR" w:eastAsia="pt-BR" w:bidi="pt-BR"/>
        </w:rPr>
        <w:t>Q</w:t>
      </w:r>
      <w:r>
        <w:rPr>
          <w:rStyle w:val="CharStyle5"/>
          <w:lang w:val="pt-BR" w:eastAsia="pt-BR" w:bidi="pt-BR"/>
        </w:rPr>
        <w:t xml:space="preserve"> A estimativa da receita do IBS será realizada com base em critério conservador, correspondente a 0,5% (zero vírgula cinco por cento) da previsão do Imposto Sobre Serviços de Qualquer Natureza (ISS) e da cota-parte do Imposto sobre Circulação de Mercadorias e Serviços (ICMS).</w:t>
      </w:r>
    </w:p>
    <w:p>
      <w:pPr>
        <w:pStyle w:val="Style4"/>
        <w:keepNext w:val="0"/>
        <w:keepLines w:val="0"/>
        <w:widowControl w:val="0"/>
        <w:shd w:val="clear" w:color="auto" w:fill="auto"/>
        <w:bidi w:val="0"/>
        <w:spacing w:before="0"/>
        <w:ind w:left="0" w:right="0" w:firstLine="560"/>
        <w:jc w:val="both"/>
      </w:pPr>
      <w:r>
        <w:rPr>
          <w:rStyle w:val="CharStyle5"/>
          <w:lang w:val="pt-BR" w:eastAsia="pt-BR" w:bidi="pt-BR"/>
        </w:rPr>
        <w:t>§ 2</w:t>
      </w:r>
      <w:r>
        <w:rPr>
          <w:rStyle w:val="CharStyle5"/>
          <w:vertAlign w:val="superscript"/>
          <w:lang w:val="pt-BR" w:eastAsia="pt-BR" w:bidi="pt-BR"/>
        </w:rPr>
        <w:t>y</w:t>
      </w:r>
      <w:r>
        <w:rPr>
          <w:rStyle w:val="CharStyle5"/>
          <w:lang w:val="pt-BR" w:eastAsia="pt-BR" w:bidi="pt-BR"/>
        </w:rPr>
        <w:t xml:space="preserve"> A receita do lBS sera registrada como participação na arrecadaçao compartilhada, nos termos da Portaria Conjunta STN/SOF n</w:t>
      </w:r>
      <w:r>
        <w:rPr>
          <w:rStyle w:val="CharStyle5"/>
          <w:vertAlign w:val="superscript"/>
          <w:lang w:val="pt-BR" w:eastAsia="pt-BR" w:bidi="pt-BR"/>
        </w:rPr>
        <w:t>Q</w:t>
      </w:r>
      <w:r>
        <w:rPr>
          <w:rStyle w:val="CharStyle5"/>
          <w:lang w:val="pt-BR" w:eastAsia="pt-BR" w:bidi="pt-BR"/>
        </w:rPr>
        <w:t xml:space="preserve"> 2/2026, não constituindo arrecadação direta pelo Município.</w:t>
      </w:r>
    </w:p>
    <w:p>
      <w:pPr>
        <w:pStyle w:val="Style4"/>
        <w:keepNext w:val="0"/>
        <w:keepLines w:val="0"/>
        <w:widowControl w:val="0"/>
        <w:shd w:val="clear" w:color="auto" w:fill="auto"/>
        <w:bidi w:val="0"/>
        <w:spacing w:before="0" w:after="680" w:line="240" w:lineRule="auto"/>
        <w:ind w:left="0" w:right="0" w:firstLine="560"/>
        <w:jc w:val="both"/>
      </w:pPr>
      <w:r>
        <w:rPr>
          <w:rStyle w:val="CharStyle5"/>
          <w:lang w:val="pt-BR" w:eastAsia="pt-BR" w:bidi="pt-BR"/>
        </w:rPr>
        <w:t>Art. 58. Esta Lei entrará em vigor na data de sua publicação.</w:t>
      </w:r>
    </w:p>
    <w:p>
      <w:pPr>
        <w:pStyle w:val="Style4"/>
        <w:keepNext w:val="0"/>
        <w:keepLines w:val="0"/>
        <w:widowControl w:val="0"/>
        <w:shd w:val="clear" w:color="auto" w:fill="auto"/>
        <w:bidi w:val="0"/>
        <w:spacing w:before="0" w:after="320" w:line="240" w:lineRule="auto"/>
        <w:ind w:left="0" w:right="0" w:firstLine="560"/>
        <w:jc w:val="both"/>
      </w:pPr>
      <w:r>
        <w:rPr>
          <w:rStyle w:val="CharStyle5"/>
          <w:lang w:val="pt-BR" w:eastAsia="pt-BR" w:bidi="pt-BR"/>
        </w:rPr>
        <w:t>Careiro da Várzea/AM,30 de julho de 2026.</w:t>
      </w:r>
    </w:p>
    <w:p>
      <w:pPr>
        <w:pStyle w:val="Style41"/>
        <w:keepNext/>
        <w:keepLines/>
        <w:widowControl w:val="0"/>
        <w:shd w:val="clear" w:color="auto" w:fill="auto"/>
        <w:bidi w:val="0"/>
        <w:spacing w:before="0" w:line="240" w:lineRule="auto"/>
        <w:ind w:left="0" w:right="0" w:firstLine="0"/>
        <w:jc w:val="center"/>
      </w:pPr>
      <w:bookmarkStart w:id="55" w:name="bookmark55"/>
      <w:r>
        <w:rPr>
          <w:rStyle w:val="CharStyle42"/>
        </w:rPr>
        <w:t xml:space="preserve">7 / </w:t>
      </w:r>
      <w:r>
        <w:rPr>
          <w:rStyle w:val="CharStyle42"/>
          <w:color w:val="373263"/>
        </w:rPr>
        <w:t>y/j</w:t>
      </w:r>
      <w:bookmarkEnd w:id="55"/>
    </w:p>
    <w:p>
      <w:pPr>
        <w:pStyle w:val="Style4"/>
        <w:keepNext w:val="0"/>
        <w:keepLines w:val="0"/>
        <w:widowControl w:val="0"/>
        <w:shd w:val="clear" w:color="auto" w:fill="auto"/>
        <w:bidi w:val="0"/>
        <w:spacing w:before="0" w:line="240" w:lineRule="auto"/>
        <w:ind w:left="0" w:right="0" w:firstLine="0"/>
        <w:jc w:val="center"/>
      </w:pPr>
      <w:r>
        <w:rPr>
          <w:rStyle w:val="CharStyle5"/>
          <w:b/>
          <w:bCs/>
          <w:lang w:val="pt-BR" w:eastAsia="pt-BR" w:bidi="pt-BR"/>
        </w:rPr>
        <w:t>Prefeito Municipal</w:t>
      </w:r>
    </w:p>
    <w:sectPr>
      <w:footnotePr>
        <w:pos w:val="pageBottom"/>
        <w:numFmt w:val="decimal"/>
        <w:numRestart w:val="continuous"/>
      </w:footnotePr>
      <w:pgSz w:w="11900" w:h="16840"/>
      <w:pgMar w:top="189" w:right="869" w:bottom="98" w:left="865" w:header="0" w:footer="3"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32"/>
      <w:numFmt w:val="decimal"/>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Body text|2_"/>
    <w:basedOn w:val="DefaultParagraphFont"/>
    <w:link w:val="Style2"/>
    <w:rPr>
      <w:rFonts w:ascii="Arial" w:eastAsia="Arial" w:hAnsi="Arial" w:cs="Arial"/>
      <w:b/>
      <w:bCs/>
      <w:i w:val="0"/>
      <w:iCs w:val="0"/>
      <w:smallCaps w:val="0"/>
      <w:strike w:val="0"/>
      <w:sz w:val="9"/>
      <w:szCs w:val="9"/>
      <w:u w:val="none"/>
    </w:rPr>
  </w:style>
  <w:style w:type="character" w:customStyle="1" w:styleId="CharStyle5">
    <w:name w:val="Body text|1_"/>
    <w:basedOn w:val="DefaultParagraphFont"/>
    <w:link w:val="Style4"/>
    <w:rPr>
      <w:rFonts w:ascii="Arial" w:eastAsia="Arial" w:hAnsi="Arial" w:cs="Arial"/>
      <w:b w:val="0"/>
      <w:bCs w:val="0"/>
      <w:i w:val="0"/>
      <w:iCs w:val="0"/>
      <w:smallCaps w:val="0"/>
      <w:strike w:val="0"/>
      <w:sz w:val="20"/>
      <w:szCs w:val="20"/>
      <w:u w:val="none"/>
    </w:rPr>
  </w:style>
  <w:style w:type="character" w:customStyle="1" w:styleId="CharStyle7">
    <w:name w:val="Heading #2|1_"/>
    <w:basedOn w:val="DefaultParagraphFont"/>
    <w:link w:val="Style6"/>
    <w:rPr>
      <w:rFonts w:ascii="Arial" w:eastAsia="Arial" w:hAnsi="Arial" w:cs="Arial"/>
      <w:b/>
      <w:bCs/>
      <w:i w:val="0"/>
      <w:iCs w:val="0"/>
      <w:smallCaps w:val="0"/>
      <w:strike w:val="0"/>
      <w:sz w:val="20"/>
      <w:szCs w:val="20"/>
      <w:u w:val="none"/>
    </w:rPr>
  </w:style>
  <w:style w:type="character" w:customStyle="1" w:styleId="CharStyle10">
    <w:name w:val="Body text|3_"/>
    <w:basedOn w:val="DefaultParagraphFont"/>
    <w:link w:val="Style9"/>
    <w:rPr>
      <w:b/>
      <w:bCs/>
      <w:i w:val="0"/>
      <w:iCs w:val="0"/>
      <w:smallCaps w:val="0"/>
      <w:strike w:val="0"/>
      <w:sz w:val="10"/>
      <w:szCs w:val="10"/>
      <w:u w:val="none"/>
    </w:rPr>
  </w:style>
  <w:style w:type="character" w:customStyle="1" w:styleId="CharStyle16">
    <w:name w:val="Body text|4_"/>
    <w:basedOn w:val="DefaultParagraphFont"/>
    <w:link w:val="Style15"/>
    <w:rPr>
      <w:b/>
      <w:bCs/>
      <w:i w:val="0"/>
      <w:iCs w:val="0"/>
      <w:smallCaps w:val="0"/>
      <w:strike w:val="0"/>
      <w:sz w:val="22"/>
      <w:szCs w:val="22"/>
      <w:u w:val="none"/>
    </w:rPr>
  </w:style>
  <w:style w:type="character" w:customStyle="1" w:styleId="CharStyle22">
    <w:name w:val="Other|1_"/>
    <w:basedOn w:val="DefaultParagraphFont"/>
    <w:link w:val="Style21"/>
    <w:rPr>
      <w:rFonts w:ascii="Arial" w:eastAsia="Arial" w:hAnsi="Arial" w:cs="Arial"/>
      <w:b w:val="0"/>
      <w:bCs w:val="0"/>
      <w:i w:val="0"/>
      <w:iCs w:val="0"/>
      <w:smallCaps w:val="0"/>
      <w:strike w:val="0"/>
      <w:sz w:val="20"/>
      <w:szCs w:val="20"/>
      <w:u w:val="none"/>
    </w:rPr>
  </w:style>
  <w:style w:type="character" w:customStyle="1" w:styleId="CharStyle42">
    <w:name w:val="Heading #1|1_"/>
    <w:basedOn w:val="DefaultParagraphFont"/>
    <w:link w:val="Style41"/>
    <w:rPr>
      <w:rFonts w:ascii="Arial" w:eastAsia="Arial" w:hAnsi="Arial" w:cs="Arial"/>
      <w:b w:val="0"/>
      <w:bCs w:val="0"/>
      <w:i w:val="0"/>
      <w:iCs w:val="0"/>
      <w:smallCaps w:val="0"/>
      <w:strike w:val="0"/>
      <w:color w:val="0D083A"/>
      <w:sz w:val="84"/>
      <w:szCs w:val="84"/>
      <w:u w:val="none"/>
      <w:lang w:val="pt-BR" w:eastAsia="pt-BR" w:bidi="pt-BR"/>
    </w:rPr>
  </w:style>
  <w:style w:type="paragraph" w:customStyle="1" w:styleId="Style2">
    <w:name w:val="Body text|2"/>
    <w:basedOn w:val="Normal"/>
    <w:link w:val="CharStyle3"/>
    <w:pPr>
      <w:widowControl w:val="0"/>
      <w:shd w:val="clear" w:color="auto" w:fill="auto"/>
      <w:spacing w:after="110" w:line="190" w:lineRule="auto"/>
      <w:ind w:firstLine="560"/>
    </w:pPr>
    <w:rPr>
      <w:rFonts w:ascii="Arial" w:eastAsia="Arial" w:hAnsi="Arial" w:cs="Arial"/>
      <w:b/>
      <w:bCs/>
      <w:i w:val="0"/>
      <w:iCs w:val="0"/>
      <w:smallCaps w:val="0"/>
      <w:strike w:val="0"/>
      <w:sz w:val="9"/>
      <w:szCs w:val="9"/>
      <w:u w:val="none"/>
    </w:rPr>
  </w:style>
  <w:style w:type="paragraph" w:customStyle="1" w:styleId="Style4">
    <w:name w:val="Body text|1"/>
    <w:basedOn w:val="Normal"/>
    <w:link w:val="CharStyle5"/>
    <w:pPr>
      <w:widowControl w:val="0"/>
      <w:shd w:val="clear" w:color="auto" w:fill="auto"/>
      <w:spacing w:after="100" w:line="353" w:lineRule="auto"/>
      <w:ind w:firstLine="400"/>
    </w:pPr>
    <w:rPr>
      <w:rFonts w:ascii="Arial" w:eastAsia="Arial" w:hAnsi="Arial" w:cs="Arial"/>
      <w:b w:val="0"/>
      <w:bCs w:val="0"/>
      <w:i w:val="0"/>
      <w:iCs w:val="0"/>
      <w:smallCaps w:val="0"/>
      <w:strike w:val="0"/>
      <w:sz w:val="20"/>
      <w:szCs w:val="20"/>
      <w:u w:val="none"/>
    </w:rPr>
  </w:style>
  <w:style w:type="paragraph" w:customStyle="1" w:styleId="Style6">
    <w:name w:val="Heading #2|1"/>
    <w:basedOn w:val="Normal"/>
    <w:link w:val="CharStyle7"/>
    <w:pPr>
      <w:widowControl w:val="0"/>
      <w:shd w:val="clear" w:color="auto" w:fill="auto"/>
      <w:spacing w:after="220"/>
      <w:jc w:val="center"/>
      <w:outlineLvl w:val="1"/>
    </w:pPr>
    <w:rPr>
      <w:rFonts w:ascii="Arial" w:eastAsia="Arial" w:hAnsi="Arial" w:cs="Arial"/>
      <w:b/>
      <w:bCs/>
      <w:i w:val="0"/>
      <w:iCs w:val="0"/>
      <w:smallCaps w:val="0"/>
      <w:strike w:val="0"/>
      <w:sz w:val="20"/>
      <w:szCs w:val="20"/>
      <w:u w:val="none"/>
    </w:rPr>
  </w:style>
  <w:style w:type="paragraph" w:customStyle="1" w:styleId="Style9">
    <w:name w:val="Body text|3"/>
    <w:basedOn w:val="Normal"/>
    <w:link w:val="CharStyle10"/>
    <w:pPr>
      <w:widowControl w:val="0"/>
      <w:shd w:val="clear" w:color="auto" w:fill="auto"/>
      <w:spacing w:after="320" w:line="197" w:lineRule="auto"/>
      <w:jc w:val="center"/>
    </w:pPr>
    <w:rPr>
      <w:b/>
      <w:bCs/>
      <w:i w:val="0"/>
      <w:iCs w:val="0"/>
      <w:smallCaps w:val="0"/>
      <w:strike w:val="0"/>
      <w:sz w:val="10"/>
      <w:szCs w:val="10"/>
      <w:u w:val="none"/>
    </w:rPr>
  </w:style>
  <w:style w:type="paragraph" w:customStyle="1" w:styleId="Style15">
    <w:name w:val="Body text|4"/>
    <w:basedOn w:val="Normal"/>
    <w:link w:val="CharStyle16"/>
    <w:pPr>
      <w:widowControl w:val="0"/>
      <w:shd w:val="clear" w:color="auto" w:fill="auto"/>
      <w:spacing w:line="209" w:lineRule="auto"/>
      <w:ind w:firstLine="280"/>
      <w:jc w:val="center"/>
    </w:pPr>
    <w:rPr>
      <w:b/>
      <w:bCs/>
      <w:i w:val="0"/>
      <w:iCs w:val="0"/>
      <w:smallCaps w:val="0"/>
      <w:strike w:val="0"/>
      <w:sz w:val="22"/>
      <w:szCs w:val="22"/>
      <w:u w:val="none"/>
    </w:rPr>
  </w:style>
  <w:style w:type="paragraph" w:customStyle="1" w:styleId="Style21">
    <w:name w:val="Other|1"/>
    <w:basedOn w:val="Normal"/>
    <w:link w:val="CharStyle22"/>
    <w:pPr>
      <w:widowControl w:val="0"/>
      <w:shd w:val="clear" w:color="auto" w:fill="auto"/>
      <w:spacing w:after="100" w:line="353" w:lineRule="auto"/>
      <w:ind w:firstLine="400"/>
    </w:pPr>
    <w:rPr>
      <w:rFonts w:ascii="Arial" w:eastAsia="Arial" w:hAnsi="Arial" w:cs="Arial"/>
      <w:b w:val="0"/>
      <w:bCs w:val="0"/>
      <w:i w:val="0"/>
      <w:iCs w:val="0"/>
      <w:smallCaps w:val="0"/>
      <w:strike w:val="0"/>
      <w:sz w:val="20"/>
      <w:szCs w:val="20"/>
      <w:u w:val="none"/>
    </w:rPr>
  </w:style>
  <w:style w:type="paragraph" w:customStyle="1" w:styleId="Style41">
    <w:name w:val="Heading #1|1"/>
    <w:basedOn w:val="Normal"/>
    <w:link w:val="CharStyle42"/>
    <w:pPr>
      <w:widowControl w:val="0"/>
      <w:shd w:val="clear" w:color="auto" w:fill="auto"/>
      <w:spacing w:after="320"/>
      <w:jc w:val="center"/>
      <w:outlineLvl w:val="0"/>
    </w:pPr>
    <w:rPr>
      <w:rFonts w:ascii="Arial" w:eastAsia="Arial" w:hAnsi="Arial" w:cs="Arial"/>
      <w:b w:val="0"/>
      <w:bCs w:val="0"/>
      <w:i w:val="0"/>
      <w:iCs w:val="0"/>
      <w:smallCaps w:val="0"/>
      <w:strike w:val="0"/>
      <w:color w:val="0D083A"/>
      <w:sz w:val="84"/>
      <w:szCs w:val="84"/>
      <w:u w:val="none"/>
      <w:lang w:val="pt-BR" w:eastAsia="pt-BR" w:bidi="pt-BR"/>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image" Target="media/image12.jpeg"/><Relationship Id="rId28" Type="http://schemas.openxmlformats.org/officeDocument/2006/relationships/image" Target="media/image12.jpeg" TargetMode="Externa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image" Target="media/image14.jpeg"/><Relationship Id="rId32" Type="http://schemas.openxmlformats.org/officeDocument/2006/relationships/image" Target="media/image14.jpeg" TargetMode="Externa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image" Target="media/image16.jpeg"/><Relationship Id="rId36" Type="http://schemas.openxmlformats.org/officeDocument/2006/relationships/image" Target="media/image16.jpeg" TargetMode="External"/><Relationship Id="rId37" Type="http://schemas.openxmlformats.org/officeDocument/2006/relationships/image" Target="media/image17.jpeg"/><Relationship Id="rId38" Type="http://schemas.openxmlformats.org/officeDocument/2006/relationships/image" Target="media/image17.jpeg" TargetMode="External"/></Relationships>
</file>