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768350" cy="7861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768350" cy="786130"/>
                    </a:xfrm>
                    <a:prstGeom prst="rect"/>
                  </pic:spPr>
                </pic:pic>
              </a:graphicData>
            </a:graphic>
          </wp:inline>
        </w:drawing>
      </w:r>
    </w:p>
    <w:p>
      <w:pPr>
        <w:pStyle w:val="Style14"/>
        <w:keepNext w:val="0"/>
        <w:keepLines w:val="0"/>
        <w:widowControl w:val="0"/>
        <w:shd w:val="clear" w:color="auto" w:fill="auto"/>
        <w:bidi w:val="0"/>
        <w:spacing w:before="0" w:after="0" w:line="240" w:lineRule="auto"/>
        <w:ind w:left="0" w:right="0" w:firstLine="0"/>
        <w:jc w:val="center"/>
        <w:rPr>
          <w:sz w:val="22"/>
          <w:szCs w:val="22"/>
        </w:rPr>
      </w:pPr>
      <w:r>
        <w:rPr>
          <w:rStyle w:val="CharStyle15"/>
          <w:b/>
          <w:bCs/>
          <w:sz w:val="22"/>
          <w:szCs w:val="22"/>
        </w:rPr>
        <w:t>BorbaPrev</w:t>
      </w:r>
    </w:p>
    <w:p>
      <w:pPr>
        <w:pStyle w:val="Style17"/>
        <w:keepNext/>
        <w:keepLines/>
        <w:widowControl w:val="0"/>
        <w:shd w:val="clear" w:color="auto" w:fill="auto"/>
        <w:bidi w:val="0"/>
        <w:spacing w:before="0" w:after="60" w:line="240" w:lineRule="auto"/>
        <w:ind w:left="0" w:right="0" w:firstLine="0"/>
        <w:jc w:val="center"/>
      </w:pPr>
      <w:bookmarkStart w:id="4" w:name="bookmark4"/>
      <w:r>
        <w:rPr>
          <w:rStyle w:val="CharStyle18"/>
          <w:b/>
          <w:bCs/>
        </w:rPr>
        <w:t>FUNDO MUNICIPAL DE PREVIDÊNCIA SOCIAL DE BORBA-AM</w:t>
      </w:r>
      <w:bookmarkEnd w:id="4"/>
    </w:p>
    <w:p>
      <w:pPr>
        <w:pStyle w:val="Style2"/>
        <w:keepNext/>
        <w:keepLines/>
        <w:widowControl w:val="0"/>
        <w:shd w:val="clear" w:color="auto" w:fill="auto"/>
        <w:bidi w:val="0"/>
        <w:spacing w:before="0" w:after="600" w:line="240" w:lineRule="auto"/>
        <w:ind w:left="0" w:right="0" w:firstLine="0"/>
        <w:jc w:val="center"/>
      </w:pPr>
      <w:bookmarkStart w:id="6" w:name="bookmark6"/>
      <w:r>
        <w:rPr>
          <w:rStyle w:val="CharStyle3"/>
          <w:b/>
          <w:bCs/>
          <w:lang w:val="pt-PT" w:eastAsia="pt-PT" w:bidi="pt-PT"/>
        </w:rPr>
        <w:t>TERMO DE CONTRATO - LEI N° 14.133/2021 COMPRAS</w:t>
      </w:r>
      <w:bookmarkEnd w:id="6"/>
    </w:p>
    <w:p>
      <w:pPr>
        <w:pStyle w:val="Style2"/>
        <w:keepNext/>
        <w:keepLines/>
        <w:widowControl w:val="0"/>
        <w:shd w:val="clear" w:color="auto" w:fill="auto"/>
        <w:bidi w:val="0"/>
        <w:spacing w:before="0" w:after="0" w:line="437" w:lineRule="auto"/>
        <w:ind w:left="2180" w:right="0" w:firstLine="0"/>
        <w:jc w:val="both"/>
      </w:pPr>
      <w:bookmarkStart w:id="8" w:name="bookmark8"/>
      <w:r>
        <w:rPr>
          <w:rStyle w:val="CharStyle3"/>
          <w:b/>
          <w:bCs/>
          <w:lang w:val="pt-PT" w:eastAsia="pt-PT" w:bidi="pt-PT"/>
        </w:rPr>
        <w:t>CONTRATO ADMINISTRATIVO N°001l/2026, QUE FAZEM ENTRE SI O BORBAPREV, POR INTERMÉDIO DO (A) E A EMPRESA BARABARA</w:t>
      </w:r>
      <w:bookmarkEnd w:id="8"/>
    </w:p>
    <w:p>
      <w:pPr>
        <w:pStyle w:val="Style2"/>
        <w:keepNext/>
        <w:keepLines/>
        <w:widowControl w:val="0"/>
        <w:shd w:val="clear" w:color="auto" w:fill="auto"/>
        <w:bidi w:val="0"/>
        <w:spacing w:before="0" w:after="300" w:line="240" w:lineRule="auto"/>
        <w:ind w:left="2180" w:right="0" w:firstLine="0"/>
        <w:jc w:val="both"/>
      </w:pPr>
      <w:r>
        <w:rPr>
          <w:rStyle w:val="CharStyle3"/>
          <w:b/>
          <w:bCs/>
          <w:lang w:val="pt-PT" w:eastAsia="pt-PT" w:bidi="pt-PT"/>
        </w:rPr>
        <w:t>FERNANDES DE ARAÚJO.</w:t>
      </w:r>
    </w:p>
    <w:p>
      <w:pPr>
        <w:pStyle w:val="Style14"/>
        <w:keepNext w:val="0"/>
        <w:keepLines w:val="0"/>
        <w:widowControl w:val="0"/>
        <w:shd w:val="clear" w:color="auto" w:fill="auto"/>
        <w:bidi w:val="0"/>
        <w:spacing w:before="0" w:after="220" w:line="338" w:lineRule="auto"/>
        <w:ind w:left="0" w:right="0" w:firstLine="0"/>
        <w:jc w:val="both"/>
      </w:pPr>
      <w:r>
        <w:rPr>
          <w:rStyle w:val="CharStyle15"/>
        </w:rPr>
        <w:t xml:space="preserve">0 </w:t>
      </w:r>
      <w:r>
        <w:rPr>
          <w:rStyle w:val="CharStyle15"/>
          <w:b/>
          <w:bCs/>
        </w:rPr>
        <w:t xml:space="preserve">FUNDO MUNICIPAL DE PREVIDÊNCIA SOCIAL DE BORBA- BORBAPREV, </w:t>
      </w:r>
      <w:r>
        <w:rPr>
          <w:rStyle w:val="CharStyle15"/>
        </w:rPr>
        <w:t xml:space="preserve">pessoa jurídica de direito público interno, por intermédio do (a) </w:t>
      </w:r>
      <w:r>
        <w:rPr>
          <w:rStyle w:val="CharStyle15"/>
          <w:b/>
          <w:bCs/>
        </w:rPr>
        <w:t xml:space="preserve">da Presidente, </w:t>
      </w:r>
      <w:r>
        <w:rPr>
          <w:rStyle w:val="CharStyle15"/>
        </w:rPr>
        <w:t xml:space="preserve">com sede na Travessa Jose Muniz de Castro, </w:t>
      </w:r>
      <w:r>
        <w:rPr>
          <w:rStyle w:val="CharStyle15"/>
          <w:lang w:val="pt-BR" w:eastAsia="pt-BR" w:bidi="pt-BR"/>
        </w:rPr>
        <w:t xml:space="preserve">CEP: </w:t>
      </w:r>
      <w:r>
        <w:rPr>
          <w:rStyle w:val="CharStyle15"/>
        </w:rPr>
        <w:t xml:space="preserve">69.200.000 inscrito(a) no CNPJ sob 0 n° 21.407.460/0001-09, neste ato representado(a) pelo(a) </w:t>
      </w:r>
      <w:r>
        <w:rPr>
          <w:rStyle w:val="CharStyle15"/>
          <w:b/>
          <w:bCs/>
        </w:rPr>
        <w:t xml:space="preserve">Mateus da Fonseca Nunes, </w:t>
      </w:r>
      <w:r>
        <w:rPr>
          <w:rStyle w:val="CharStyle15"/>
        </w:rPr>
        <w:t xml:space="preserve">presidente do BorbaPrev, doravante denominado </w:t>
      </w:r>
      <w:r>
        <w:rPr>
          <w:rStyle w:val="CharStyle15"/>
          <w:b/>
          <w:bCs/>
        </w:rPr>
        <w:t xml:space="preserve">contratante, </w:t>
      </w:r>
      <w:r>
        <w:rPr>
          <w:rStyle w:val="CharStyle15"/>
        </w:rPr>
        <w:t xml:space="preserve">e o(a) </w:t>
      </w:r>
      <w:r>
        <w:rPr>
          <w:rStyle w:val="CharStyle15"/>
          <w:b/>
          <w:bCs/>
        </w:rPr>
        <w:t xml:space="preserve">BARBARA FERNANDES DE ARAÚJO, </w:t>
      </w:r>
      <w:r>
        <w:rPr>
          <w:rStyle w:val="CharStyle15"/>
        </w:rPr>
        <w:t xml:space="preserve">inscrito(a) no CNPJ sob 0 n° </w:t>
      </w:r>
      <w:r>
        <w:rPr>
          <w:rStyle w:val="CharStyle15"/>
          <w:b/>
          <w:bCs/>
        </w:rPr>
        <w:t xml:space="preserve">37.385.236/0001-01, </w:t>
      </w:r>
      <w:r>
        <w:rPr>
          <w:rStyle w:val="CharStyle15"/>
        </w:rPr>
        <w:t xml:space="preserve">sediado(a) no </w:t>
      </w:r>
      <w:r>
        <w:rPr>
          <w:rStyle w:val="CharStyle15"/>
          <w:b/>
          <w:bCs/>
        </w:rPr>
        <w:t xml:space="preserve">RUA CONSTELAÇÃO DE TOURO, </w:t>
      </w:r>
      <w:r>
        <w:rPr>
          <w:rStyle w:val="CharStyle15"/>
        </w:rPr>
        <w:t xml:space="preserve">N°l54,Aleixo, Manaus-AM, doravante designado </w:t>
      </w:r>
      <w:r>
        <w:rPr>
          <w:rStyle w:val="CharStyle15"/>
          <w:b/>
          <w:bCs/>
        </w:rPr>
        <w:t xml:space="preserve">contratado, </w:t>
      </w:r>
      <w:r>
        <w:rPr>
          <w:rStyle w:val="CharStyle15"/>
        </w:rPr>
        <w:t xml:space="preserve">tendo em vista o que consta no Processo n°2857/2O26 e em observância </w:t>
      </w:r>
      <w:r>
        <w:rPr>
          <w:rStyle w:val="CharStyle15"/>
          <w:lang w:val="pt-BR" w:eastAsia="pt-BR" w:bidi="pt-BR"/>
        </w:rPr>
        <w:t xml:space="preserve">às </w:t>
      </w:r>
      <w:r>
        <w:rPr>
          <w:rStyle w:val="CharStyle15"/>
        </w:rPr>
        <w:t xml:space="preserve">disposições da Lei n° 14.133/2021, resolvem celebrar o presente Termo de Contrato, decorrente </w:t>
      </w:r>
      <w:r>
        <w:rPr>
          <w:rStyle w:val="CharStyle15"/>
          <w:i/>
          <w:iCs/>
        </w:rPr>
        <w:t>da Dispensa de Licitação n. 009/2026-CPL/PMB/BORBAPREV,</w:t>
      </w:r>
      <w:r>
        <w:rPr>
          <w:rStyle w:val="CharStyle15"/>
        </w:rPr>
        <w:t xml:space="preserve"> mediante as cláusulas e condições a seguir enunciadas.</w:t>
      </w:r>
    </w:p>
    <w:p>
      <w:pPr>
        <w:pStyle w:val="Style2"/>
        <w:keepNext/>
        <w:keepLines/>
        <w:widowControl w:val="0"/>
        <w:numPr>
          <w:ilvl w:val="0"/>
          <w:numId w:val="1"/>
        </w:numPr>
        <w:shd w:val="clear" w:color="auto" w:fill="auto"/>
        <w:tabs>
          <w:tab w:pos="255" w:val="left"/>
        </w:tabs>
        <w:bidi w:val="0"/>
        <w:spacing w:before="0" w:after="60" w:line="338" w:lineRule="auto"/>
        <w:ind w:left="0" w:right="0" w:firstLine="0"/>
        <w:jc w:val="both"/>
      </w:pPr>
      <w:bookmarkStart w:id="11" w:name="bookmark11"/>
      <w:r>
        <w:rPr>
          <w:rStyle w:val="CharStyle3"/>
          <w:b/>
          <w:bCs/>
          <w:lang w:val="pt-PT" w:eastAsia="pt-PT" w:bidi="pt-PT"/>
        </w:rPr>
        <w:t>CLÁUSULA PRIMEIRA - OBJETO (art. 92,1 e II)</w:t>
      </w:r>
      <w:bookmarkEnd w:id="11"/>
    </w:p>
    <w:p>
      <w:pPr>
        <w:pStyle w:val="Style14"/>
        <w:keepNext w:val="0"/>
        <w:keepLines w:val="0"/>
        <w:widowControl w:val="0"/>
        <w:numPr>
          <w:ilvl w:val="1"/>
          <w:numId w:val="1"/>
        </w:numPr>
        <w:shd w:val="clear" w:color="auto" w:fill="auto"/>
        <w:tabs>
          <w:tab w:pos="418" w:val="left"/>
        </w:tabs>
        <w:bidi w:val="0"/>
        <w:spacing w:before="0" w:line="338" w:lineRule="auto"/>
        <w:ind w:left="0" w:right="0" w:firstLine="0"/>
        <w:jc w:val="both"/>
      </w:pPr>
      <w:r>
        <w:rPr>
          <w:rStyle w:val="CharStyle15"/>
        </w:rPr>
        <w:t xml:space="preserve">O objeto do presente instrumento é a especializada na prestação de serviços de </w:t>
      </w:r>
      <w:r>
        <w:rPr>
          <w:rStyle w:val="CharStyle15"/>
          <w:b/>
          <w:bCs/>
        </w:rPr>
        <w:t xml:space="preserve">agenciamento e fornecimento de passagens aéreas nacionais, </w:t>
      </w:r>
      <w:r>
        <w:rPr>
          <w:rStyle w:val="CharStyle15"/>
        </w:rPr>
        <w:t xml:space="preserve">com o objetivo de viabilizar a participação de servidores (ou representantes) deste órgão/entidade no, </w:t>
      </w:r>
      <w:r>
        <w:rPr>
          <w:rStyle w:val="CharStyle15"/>
          <w:b/>
          <w:bCs/>
        </w:rPr>
        <w:t xml:space="preserve">24^ CONGRESSO PREVIDENCIÁRIO DA APEPREV, </w:t>
      </w:r>
      <w:r>
        <w:rPr>
          <w:rStyle w:val="CharStyle15"/>
        </w:rPr>
        <w:t>3® Seminário Internacional de Previdência, 16 a 18 de setembro de 2026, Foz do Iguaçu- PR, será Manaus/ Foz, saída do dia 15/09/2026 (ida) dia 19/09/2026 (volta), nas condições estabelecidas no ESTUDO TÉCNICO PRELIMINAR.</w:t>
      </w:r>
    </w:p>
    <w:p>
      <w:pPr>
        <w:pStyle w:val="Style7"/>
        <w:keepNext w:val="0"/>
        <w:keepLines w:val="0"/>
        <w:widowControl w:val="0"/>
        <w:numPr>
          <w:ilvl w:val="1"/>
          <w:numId w:val="1"/>
        </w:numPr>
        <w:shd w:val="clear" w:color="auto" w:fill="auto"/>
        <w:tabs>
          <w:tab w:pos="423" w:val="left"/>
        </w:tabs>
        <w:bidi w:val="0"/>
        <w:spacing w:before="0" w:after="0" w:line="240" w:lineRule="auto"/>
        <w:ind w:left="0" w:right="0" w:firstLine="0"/>
        <w:jc w:val="both"/>
        <w:rPr>
          <w:sz w:val="20"/>
          <w:szCs w:val="20"/>
        </w:rPr>
      </w:pPr>
      <w:r>
        <w:rPr>
          <w:rStyle w:val="CharStyle8"/>
          <w:sz w:val="20"/>
          <w:szCs w:val="20"/>
        </w:rPr>
        <w:t>Objeto da contratação:</w:t>
      </w:r>
    </w:p>
    <w:p>
      <w:pPr>
        <w:widowControl w:val="0"/>
        <w:spacing w:line="1" w:lineRule="exact"/>
      </w:pPr>
      <w:r>
        <mc:AlternateContent>
          <mc:Choice Requires="wps">
            <w:drawing>
              <wp:anchor distT="273050" distB="1444625" distL="0" distR="0" simplePos="0" relativeHeight="125829378" behindDoc="0" locked="0" layoutInCell="1" allowOverlap="1">
                <wp:simplePos x="0" y="0"/>
                <wp:positionH relativeFrom="page">
                  <wp:posOffset>922655</wp:posOffset>
                </wp:positionH>
                <wp:positionV relativeFrom="paragraph">
                  <wp:posOffset>273050</wp:posOffset>
                </wp:positionV>
                <wp:extent cx="271145" cy="158750"/>
                <wp:wrapTopAndBottom/>
                <wp:docPr id="2" name="Shape 2"/>
                <a:graphic xmlns:a="http://schemas.openxmlformats.org/drawingml/2006/main">
                  <a:graphicData uri="http://schemas.microsoft.com/office/word/2010/wordprocessingShape">
                    <wps:wsp>
                      <wps:cNvSpPr txBox="1"/>
                      <wps:spPr>
                        <a:xfrm>
                          <a:ext cx="271145" cy="158750"/>
                        </a:xfrm>
                        <a:prstGeom prst="rect"/>
                        <a:noFill/>
                      </wps:spPr>
                      <wps:txbx>
                        <w:txbxContent>
                          <w:p>
                            <w:pPr>
                              <w:pStyle w:val="Style2"/>
                              <w:keepNext/>
                              <w:keepLines/>
                              <w:widowControl w:val="0"/>
                              <w:shd w:val="clear" w:color="auto" w:fill="auto"/>
                              <w:bidi w:val="0"/>
                              <w:spacing w:before="0" w:after="0" w:line="240" w:lineRule="auto"/>
                              <w:ind w:left="0" w:right="0" w:firstLine="0"/>
                              <w:jc w:val="left"/>
                            </w:pPr>
                            <w:bookmarkStart w:id="0" w:name="bookmark0"/>
                            <w:r>
                              <w:rPr>
                                <w:rStyle w:val="CharStyle3"/>
                                <w:b/>
                                <w:bCs/>
                                <w:lang w:val="pt-PT" w:eastAsia="pt-PT" w:bidi="pt-PT"/>
                              </w:rPr>
                              <w:t>Item</w:t>
                            </w:r>
                            <w:bookmarkEnd w:id="0"/>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72.650000000000006pt;margin-top:21.5pt;width:21.350000000000001pt;height:12.5pt;z-index:-125829375;mso-wrap-distance-left:0;mso-wrap-distance-top:21.5pt;mso-wrap-distance-right:0;mso-wrap-distance-bottom:113.75pt;mso-position-horizontal-relative:page" filled="f" stroked="f">
                <v:textbox inset="0,0,0,0">
                  <w:txbxContent>
                    <w:p>
                      <w:pPr>
                        <w:pStyle w:val="Style2"/>
                        <w:keepNext/>
                        <w:keepLines/>
                        <w:widowControl w:val="0"/>
                        <w:shd w:val="clear" w:color="auto" w:fill="auto"/>
                        <w:bidi w:val="0"/>
                        <w:spacing w:before="0" w:after="0" w:line="240" w:lineRule="auto"/>
                        <w:ind w:left="0" w:right="0" w:firstLine="0"/>
                        <w:jc w:val="left"/>
                      </w:pPr>
                      <w:bookmarkStart w:id="0" w:name="bookmark0"/>
                      <w:r>
                        <w:rPr>
                          <w:rStyle w:val="CharStyle3"/>
                          <w:b/>
                          <w:bCs/>
                          <w:lang w:val="pt-PT" w:eastAsia="pt-PT" w:bidi="pt-PT"/>
                        </w:rPr>
                        <w:t>Item</w:t>
                      </w:r>
                      <w:bookmarkEnd w:id="0"/>
                    </w:p>
                  </w:txbxContent>
                </v:textbox>
                <w10:wrap type="topAndBottom" anchorx="page"/>
              </v:shape>
            </w:pict>
          </mc:Fallback>
        </mc:AlternateContent>
      </w:r>
      <w:r>
        <mc:AlternateContent>
          <mc:Choice Requires="wps">
            <w:drawing>
              <wp:anchor distT="242570" distB="1469390" distL="0" distR="0" simplePos="0" relativeHeight="125829380" behindDoc="0" locked="0" layoutInCell="1" allowOverlap="1">
                <wp:simplePos x="0" y="0"/>
                <wp:positionH relativeFrom="page">
                  <wp:posOffset>2111375</wp:posOffset>
                </wp:positionH>
                <wp:positionV relativeFrom="paragraph">
                  <wp:posOffset>242570</wp:posOffset>
                </wp:positionV>
                <wp:extent cx="1139825" cy="164465"/>
                <wp:wrapTopAndBottom/>
                <wp:docPr id="4" name="Shape 4"/>
                <a:graphic xmlns:a="http://schemas.openxmlformats.org/drawingml/2006/main">
                  <a:graphicData uri="http://schemas.microsoft.com/office/word/2010/wordprocessingShape">
                    <wps:wsp>
                      <wps:cNvSpPr txBox="1"/>
                      <wps:spPr>
                        <a:xfrm>
                          <a:ext cx="1139825" cy="164465"/>
                        </a:xfrm>
                        <a:prstGeom prst="rect"/>
                        <a:noFill/>
                      </wps:spPr>
                      <wps:txbx>
                        <w:txbxContent>
                          <w:p>
                            <w:pPr>
                              <w:pStyle w:val="Style2"/>
                              <w:keepNext/>
                              <w:keepLines/>
                              <w:widowControl w:val="0"/>
                              <w:shd w:val="clear" w:color="auto" w:fill="auto"/>
                              <w:bidi w:val="0"/>
                              <w:spacing w:before="0" w:after="0" w:line="240" w:lineRule="auto"/>
                              <w:ind w:left="0" w:right="0" w:firstLine="0"/>
                              <w:jc w:val="left"/>
                            </w:pPr>
                            <w:bookmarkStart w:id="2" w:name="bookmark2"/>
                            <w:r>
                              <w:rPr>
                                <w:rStyle w:val="CharStyle3"/>
                                <w:b/>
                                <w:bCs/>
                                <w:lang w:val="pt-PT" w:eastAsia="pt-PT" w:bidi="pt-PT"/>
                              </w:rPr>
                              <w:t>Descrição do item</w:t>
                            </w:r>
                            <w:bookmarkEnd w:id="2"/>
                          </w:p>
                        </w:txbxContent>
                      </wps:txbx>
                      <wps:bodyPr wrap="none" lIns="0" tIns="0" rIns="0" bIns="0">
                        <a:noAutoFit/>
                      </wps:bodyPr>
                    </wps:wsp>
                  </a:graphicData>
                </a:graphic>
              </wp:anchor>
            </w:drawing>
          </mc:Choice>
          <mc:Fallback>
            <w:pict>
              <v:shape id="_x0000_s1030" type="#_x0000_t202" style="position:absolute;margin-left:166.25pt;margin-top:19.100000000000001pt;width:89.75pt;height:12.950000000000001pt;z-index:-125829373;mso-wrap-distance-left:0;mso-wrap-distance-top:19.100000000000001pt;mso-wrap-distance-right:0;mso-wrap-distance-bottom:115.7pt;mso-position-horizontal-relative:page" filled="f" stroked="f">
                <v:textbox inset="0,0,0,0">
                  <w:txbxContent>
                    <w:p>
                      <w:pPr>
                        <w:pStyle w:val="Style2"/>
                        <w:keepNext/>
                        <w:keepLines/>
                        <w:widowControl w:val="0"/>
                        <w:shd w:val="clear" w:color="auto" w:fill="auto"/>
                        <w:bidi w:val="0"/>
                        <w:spacing w:before="0" w:after="0" w:line="240" w:lineRule="auto"/>
                        <w:ind w:left="0" w:right="0" w:firstLine="0"/>
                        <w:jc w:val="left"/>
                      </w:pPr>
                      <w:bookmarkStart w:id="2" w:name="bookmark2"/>
                      <w:r>
                        <w:rPr>
                          <w:rStyle w:val="CharStyle3"/>
                          <w:b/>
                          <w:bCs/>
                          <w:lang w:val="pt-PT" w:eastAsia="pt-PT" w:bidi="pt-PT"/>
                        </w:rPr>
                        <w:t>Descrição do item</w:t>
                      </w:r>
                      <w:bookmarkEnd w:id="2"/>
                    </w:p>
                  </w:txbxContent>
                </v:textbox>
                <w10:wrap type="topAndBottom" anchorx="page"/>
              </v:shape>
            </w:pict>
          </mc:Fallback>
        </mc:AlternateContent>
      </w:r>
      <w:r>
        <mc:AlternateContent>
          <mc:Choice Requires="wps">
            <w:drawing>
              <wp:anchor distT="203200" distB="1380490" distL="0" distR="0" simplePos="0" relativeHeight="125829382" behindDoc="0" locked="0" layoutInCell="1" allowOverlap="1">
                <wp:simplePos x="0" y="0"/>
                <wp:positionH relativeFrom="page">
                  <wp:posOffset>4065270</wp:posOffset>
                </wp:positionH>
                <wp:positionV relativeFrom="paragraph">
                  <wp:posOffset>203200</wp:posOffset>
                </wp:positionV>
                <wp:extent cx="506095" cy="292735"/>
                <wp:wrapTopAndBottom/>
                <wp:docPr id="6" name="Shape 6"/>
                <a:graphic xmlns:a="http://schemas.openxmlformats.org/drawingml/2006/main">
                  <a:graphicData uri="http://schemas.microsoft.com/office/word/2010/wordprocessingShape">
                    <wps:wsp>
                      <wps:cNvSpPr txBox="1"/>
                      <wps:spPr>
                        <a:xfrm>
                          <a:ext cx="506095" cy="292735"/>
                        </a:xfrm>
                        <a:prstGeom prst="rect"/>
                        <a:noFill/>
                      </wps:spPr>
                      <wps:txbx>
                        <w:txbxContent>
                          <w:p>
                            <w:pPr>
                              <w:pStyle w:val="Style4"/>
                              <w:keepNext w:val="0"/>
                              <w:keepLines w:val="0"/>
                              <w:widowControl w:val="0"/>
                              <w:shd w:val="clear" w:color="auto" w:fill="auto"/>
                              <w:bidi w:val="0"/>
                              <w:spacing w:before="0" w:after="0" w:line="230" w:lineRule="auto"/>
                              <w:ind w:left="0" w:right="0" w:firstLine="0"/>
                              <w:jc w:val="both"/>
                            </w:pPr>
                            <w:r>
                              <w:rPr>
                                <w:rStyle w:val="CharStyle5"/>
                                <w:lang w:val="pt-PT" w:eastAsia="pt-PT" w:bidi="pt-PT"/>
                              </w:rPr>
                              <w:t>Und de medida</w:t>
                            </w:r>
                          </w:p>
                        </w:txbxContent>
                      </wps:txbx>
                      <wps:bodyPr lIns="0" tIns="0" rIns="0" bIns="0">
                        <a:noAutoFit/>
                      </wps:bodyPr>
                    </wps:wsp>
                  </a:graphicData>
                </a:graphic>
              </wp:anchor>
            </w:drawing>
          </mc:Choice>
          <mc:Fallback>
            <w:pict>
              <v:shape id="_x0000_s1032" type="#_x0000_t202" style="position:absolute;margin-left:320.10000000000002pt;margin-top:16.pt;width:39.850000000000001pt;height:23.050000000000001pt;z-index:-125829371;mso-wrap-distance-left:0;mso-wrap-distance-top:16.pt;mso-wrap-distance-right:0;mso-wrap-distance-bottom:108.7pt;mso-position-horizontal-relative:page" filled="f" stroked="f">
                <v:textbox inset="0,0,0,0">
                  <w:txbxContent>
                    <w:p>
                      <w:pPr>
                        <w:pStyle w:val="Style4"/>
                        <w:keepNext w:val="0"/>
                        <w:keepLines w:val="0"/>
                        <w:widowControl w:val="0"/>
                        <w:shd w:val="clear" w:color="auto" w:fill="auto"/>
                        <w:bidi w:val="0"/>
                        <w:spacing w:before="0" w:after="0" w:line="230" w:lineRule="auto"/>
                        <w:ind w:left="0" w:right="0" w:firstLine="0"/>
                        <w:jc w:val="both"/>
                      </w:pPr>
                      <w:r>
                        <w:rPr>
                          <w:rStyle w:val="CharStyle5"/>
                          <w:lang w:val="pt-PT" w:eastAsia="pt-PT" w:bidi="pt-PT"/>
                        </w:rPr>
                        <w:t>Und de medida</w:t>
                      </w:r>
                    </w:p>
                  </w:txbxContent>
                </v:textbox>
                <w10:wrap type="topAndBottom" anchorx="page"/>
              </v:shape>
            </w:pict>
          </mc:Fallback>
        </mc:AlternateContent>
      </w:r>
      <w:r>
        <mc:AlternateContent>
          <mc:Choice Requires="wps">
            <w:drawing>
              <wp:anchor distT="267335" distB="1450340" distL="0" distR="0" simplePos="0" relativeHeight="125829384" behindDoc="0" locked="0" layoutInCell="1" allowOverlap="1">
                <wp:simplePos x="0" y="0"/>
                <wp:positionH relativeFrom="page">
                  <wp:posOffset>4629150</wp:posOffset>
                </wp:positionH>
                <wp:positionV relativeFrom="paragraph">
                  <wp:posOffset>267335</wp:posOffset>
                </wp:positionV>
                <wp:extent cx="1100455" cy="158750"/>
                <wp:wrapTopAndBottom/>
                <wp:docPr id="8" name="Shape 8"/>
                <a:graphic xmlns:a="http://schemas.openxmlformats.org/drawingml/2006/main">
                  <a:graphicData uri="http://schemas.microsoft.com/office/word/2010/wordprocessingShape">
                    <wps:wsp>
                      <wps:cNvSpPr txBox="1"/>
                      <wps:spPr>
                        <a:xfrm>
                          <a:ext cx="1100455"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Quant Valor Uni</w:t>
                            </w:r>
                          </w:p>
                        </w:txbxContent>
                      </wps:txbx>
                      <wps:bodyPr wrap="none" lIns="0" tIns="0" rIns="0" bIns="0">
                        <a:noAutoFit/>
                      </wps:bodyPr>
                    </wps:wsp>
                  </a:graphicData>
                </a:graphic>
              </wp:anchor>
            </w:drawing>
          </mc:Choice>
          <mc:Fallback>
            <w:pict>
              <v:shape id="_x0000_s1034" type="#_x0000_t202" style="position:absolute;margin-left:364.5pt;margin-top:21.050000000000001pt;width:86.650000000000006pt;height:12.5pt;z-index:-125829369;mso-wrap-distance-left:0;mso-wrap-distance-top:21.050000000000001pt;mso-wrap-distance-right:0;mso-wrap-distance-bottom:114.2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Quant Valor Uni</w:t>
                      </w:r>
                    </w:p>
                  </w:txbxContent>
                </v:textbox>
                <w10:wrap type="topAndBottom" anchorx="page"/>
              </v:shape>
            </w:pict>
          </mc:Fallback>
        </mc:AlternateContent>
      </w:r>
      <w:r>
        <mc:AlternateContent>
          <mc:Choice Requires="wps">
            <w:drawing>
              <wp:anchor distT="267335" distB="1450340" distL="0" distR="0" simplePos="0" relativeHeight="125829386" behindDoc="0" locked="0" layoutInCell="1" allowOverlap="1">
                <wp:simplePos x="0" y="0"/>
                <wp:positionH relativeFrom="page">
                  <wp:posOffset>5897245</wp:posOffset>
                </wp:positionH>
                <wp:positionV relativeFrom="paragraph">
                  <wp:posOffset>267335</wp:posOffset>
                </wp:positionV>
                <wp:extent cx="743585" cy="158750"/>
                <wp:wrapTopAndBottom/>
                <wp:docPr id="10" name="Shape 10"/>
                <a:graphic xmlns:a="http://schemas.openxmlformats.org/drawingml/2006/main">
                  <a:graphicData uri="http://schemas.microsoft.com/office/word/2010/wordprocessingShape">
                    <wps:wsp>
                      <wps:cNvSpPr txBox="1"/>
                      <wps:spPr>
                        <a:xfrm>
                          <a:ext cx="743585"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Valor Total</w:t>
                            </w:r>
                          </w:p>
                        </w:txbxContent>
                      </wps:txbx>
                      <wps:bodyPr wrap="none" lIns="0" tIns="0" rIns="0" bIns="0">
                        <a:noAutoFit/>
                      </wps:bodyPr>
                    </wps:wsp>
                  </a:graphicData>
                </a:graphic>
              </wp:anchor>
            </w:drawing>
          </mc:Choice>
          <mc:Fallback>
            <w:pict>
              <v:shape id="_x0000_s1036" type="#_x0000_t202" style="position:absolute;margin-left:464.35000000000002pt;margin-top:21.050000000000001pt;width:58.550000000000004pt;height:12.5pt;z-index:-125829367;mso-wrap-distance-left:0;mso-wrap-distance-top:21.050000000000001pt;mso-wrap-distance-right:0;mso-wrap-distance-bottom:114.2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Valor Total</w:t>
                      </w:r>
                    </w:p>
                  </w:txbxContent>
                </v:textbox>
                <w10:wrap type="topAndBottom" anchorx="page"/>
              </v:shape>
            </w:pict>
          </mc:Fallback>
        </mc:AlternateContent>
      </w:r>
      <w:r>
        <mc:AlternateContent>
          <mc:Choice Requires="wps">
            <w:drawing>
              <wp:anchor distT="1193800" distB="530225" distL="0" distR="0" simplePos="0" relativeHeight="125829388" behindDoc="0" locked="0" layoutInCell="1" allowOverlap="1">
                <wp:simplePos x="0" y="0"/>
                <wp:positionH relativeFrom="page">
                  <wp:posOffset>977265</wp:posOffset>
                </wp:positionH>
                <wp:positionV relativeFrom="paragraph">
                  <wp:posOffset>1193800</wp:posOffset>
                </wp:positionV>
                <wp:extent cx="146050" cy="152400"/>
                <wp:wrapTopAndBottom/>
                <wp:docPr id="12" name="Shape 12"/>
                <a:graphic xmlns:a="http://schemas.openxmlformats.org/drawingml/2006/main">
                  <a:graphicData uri="http://schemas.microsoft.com/office/word/2010/wordprocessingShape">
                    <wps:wsp>
                      <wps:cNvSpPr txBox="1"/>
                      <wps:spPr>
                        <a:xfrm>
                          <a:ext cx="146050" cy="152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Style w:val="CharStyle5"/>
                                <w:sz w:val="19"/>
                                <w:szCs w:val="19"/>
                                <w:lang w:val="pt-PT" w:eastAsia="pt-PT" w:bidi="pt-PT"/>
                              </w:rPr>
                              <w:t>01</w:t>
                            </w:r>
                          </w:p>
                        </w:txbxContent>
                      </wps:txbx>
                      <wps:bodyPr wrap="none" lIns="0" tIns="0" rIns="0" bIns="0">
                        <a:noAutoFit/>
                      </wps:bodyPr>
                    </wps:wsp>
                  </a:graphicData>
                </a:graphic>
              </wp:anchor>
            </w:drawing>
          </mc:Choice>
          <mc:Fallback>
            <w:pict>
              <v:shape id="_x0000_s1038" type="#_x0000_t202" style="position:absolute;margin-left:76.950000000000003pt;margin-top:94.pt;width:11.5pt;height:12.pt;z-index:-125829365;mso-wrap-distance-left:0;mso-wrap-distance-top:94.pt;mso-wrap-distance-right:0;mso-wrap-distance-bottom:41.75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Style w:val="CharStyle5"/>
                          <w:sz w:val="19"/>
                          <w:szCs w:val="19"/>
                          <w:lang w:val="pt-PT" w:eastAsia="pt-PT" w:bidi="pt-PT"/>
                        </w:rPr>
                        <w:t>01</w:t>
                      </w:r>
                    </w:p>
                  </w:txbxContent>
                </v:textbox>
                <w10:wrap type="topAndBottom" anchorx="page"/>
              </v:shape>
            </w:pict>
          </mc:Fallback>
        </mc:AlternateContent>
      </w:r>
      <w:r>
        <mc:AlternateContent>
          <mc:Choice Requires="wps">
            <w:drawing>
              <wp:anchor distT="617855" distB="0" distL="0" distR="0" simplePos="0" relativeHeight="125829390" behindDoc="0" locked="0" layoutInCell="1" allowOverlap="1">
                <wp:simplePos x="0" y="0"/>
                <wp:positionH relativeFrom="page">
                  <wp:posOffset>1282065</wp:posOffset>
                </wp:positionH>
                <wp:positionV relativeFrom="paragraph">
                  <wp:posOffset>617855</wp:posOffset>
                </wp:positionV>
                <wp:extent cx="2694305" cy="1258570"/>
                <wp:wrapTopAndBottom/>
                <wp:docPr id="14" name="Shape 14"/>
                <a:graphic xmlns:a="http://schemas.openxmlformats.org/drawingml/2006/main">
                  <a:graphicData uri="http://schemas.microsoft.com/office/word/2010/wordprocessingShape">
                    <wps:wsp>
                      <wps:cNvSpPr txBox="1"/>
                      <wps:spPr>
                        <a:xfrm>
                          <a:ext cx="2694305" cy="1258570"/>
                        </a:xfrm>
                        <a:prstGeom prst="rect"/>
                        <a:noFill/>
                      </wps:spPr>
                      <wps:txbx>
                        <w:txbxContent>
                          <w:p>
                            <w:pPr>
                              <w:pStyle w:val="Style7"/>
                              <w:keepNext w:val="0"/>
                              <w:keepLines w:val="0"/>
                              <w:widowControl w:val="0"/>
                              <w:shd w:val="clear" w:color="auto" w:fill="auto"/>
                              <w:bidi w:val="0"/>
                              <w:spacing w:before="0" w:after="40" w:line="290" w:lineRule="auto"/>
                              <w:ind w:left="0" w:right="0" w:firstLine="0"/>
                              <w:jc w:val="left"/>
                              <w:rPr>
                                <w:sz w:val="20"/>
                                <w:szCs w:val="20"/>
                              </w:rPr>
                            </w:pPr>
                            <w:r>
                              <w:rPr>
                                <w:rStyle w:val="CharStyle8"/>
                                <w:sz w:val="20"/>
                                <w:szCs w:val="20"/>
                              </w:rPr>
                              <w:t xml:space="preserve">prestação de serviços de </w:t>
                            </w:r>
                            <w:r>
                              <w:rPr>
                                <w:rStyle w:val="CharStyle8"/>
                                <w:b/>
                                <w:bCs/>
                                <w:sz w:val="20"/>
                                <w:szCs w:val="20"/>
                              </w:rPr>
                              <w:t xml:space="preserve">agenciamento e fornecimento de passagens aéreas nacionais, </w:t>
                            </w:r>
                            <w:r>
                              <w:rPr>
                                <w:rStyle w:val="CharStyle8"/>
                                <w:sz w:val="20"/>
                                <w:szCs w:val="20"/>
                              </w:rPr>
                              <w:t>com o objetivo de viabilizar a participação de servidores (ou representantes) deste órgão/entidade no</w:t>
                            </w:r>
                          </w:p>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24</w:t>
                            </w:r>
                            <w:r>
                              <w:rPr>
                                <w:rStyle w:val="CharStyle5"/>
                                <w:vertAlign w:val="superscript"/>
                                <w:lang w:val="pt-PT" w:eastAsia="pt-PT" w:bidi="pt-PT"/>
                              </w:rPr>
                              <w:t>o</w:t>
                            </w:r>
                            <w:r>
                              <w:rPr>
                                <w:rStyle w:val="CharStyle5"/>
                                <w:lang w:val="pt-PT" w:eastAsia="pt-PT" w:bidi="pt-PT"/>
                              </w:rPr>
                              <w:t xml:space="preserve"> CONGRESSO PREVIDENCIÁRIO DA </w:t>
                            </w:r>
                            <w:r>
                              <w:rPr>
                                <w:rStyle w:val="CharStyle5"/>
                                <w:rFonts w:ascii="Courier New" w:eastAsia="Courier New" w:hAnsi="Courier New" w:cs="Courier New"/>
                                <w:smallCaps/>
                                <w:sz w:val="24"/>
                                <w:szCs w:val="24"/>
                                <w:lang w:val="pt-PT" w:eastAsia="pt-PT" w:bidi="pt-PT"/>
                              </w:rPr>
                              <w:t>apeprev,</w:t>
                            </w:r>
                            <w:r>
                              <w:rPr>
                                <w:rStyle w:val="CharStyle5"/>
                                <w:lang w:val="pt-PT" w:eastAsia="pt-PT" w:bidi="pt-PT"/>
                              </w:rPr>
                              <w:t xml:space="preserve"> 3</w:t>
                            </w:r>
                            <w:r>
                              <w:rPr>
                                <w:rStyle w:val="CharStyle5"/>
                                <w:vertAlign w:val="superscript"/>
                                <w:lang w:val="pt-PT" w:eastAsia="pt-PT" w:bidi="pt-PT"/>
                              </w:rPr>
                              <w:t>o</w:t>
                            </w:r>
                            <w:r>
                              <w:rPr>
                                <w:rStyle w:val="CharStyle5"/>
                                <w:lang w:val="pt-PT" w:eastAsia="pt-PT" w:bidi="pt-PT"/>
                              </w:rPr>
                              <w:t xml:space="preserve"> Seminário Internacional de</w:t>
                            </w:r>
                          </w:p>
                        </w:txbxContent>
                      </wps:txbx>
                      <wps:bodyPr lIns="0" tIns="0" rIns="0" bIns="0">
                        <a:noAutoFit/>
                      </wps:bodyPr>
                    </wps:wsp>
                  </a:graphicData>
                </a:graphic>
              </wp:anchor>
            </w:drawing>
          </mc:Choice>
          <mc:Fallback>
            <w:pict>
              <v:shape id="_x0000_s1040" type="#_x0000_t202" style="position:absolute;margin-left:100.95pt;margin-top:48.649999999999999pt;width:212.15000000000001pt;height:99.100000000000009pt;z-index:-125829363;mso-wrap-distance-left:0;mso-wrap-distance-top:48.649999999999999pt;mso-wrap-distance-right:0;mso-position-horizontal-relative:page" filled="f" stroked="f">
                <v:textbox inset="0,0,0,0">
                  <w:txbxContent>
                    <w:p>
                      <w:pPr>
                        <w:pStyle w:val="Style7"/>
                        <w:keepNext w:val="0"/>
                        <w:keepLines w:val="0"/>
                        <w:widowControl w:val="0"/>
                        <w:shd w:val="clear" w:color="auto" w:fill="auto"/>
                        <w:bidi w:val="0"/>
                        <w:spacing w:before="0" w:after="40" w:line="290" w:lineRule="auto"/>
                        <w:ind w:left="0" w:right="0" w:firstLine="0"/>
                        <w:jc w:val="left"/>
                        <w:rPr>
                          <w:sz w:val="20"/>
                          <w:szCs w:val="20"/>
                        </w:rPr>
                      </w:pPr>
                      <w:r>
                        <w:rPr>
                          <w:rStyle w:val="CharStyle8"/>
                          <w:sz w:val="20"/>
                          <w:szCs w:val="20"/>
                        </w:rPr>
                        <w:t xml:space="preserve">prestação de serviços de </w:t>
                      </w:r>
                      <w:r>
                        <w:rPr>
                          <w:rStyle w:val="CharStyle8"/>
                          <w:b/>
                          <w:bCs/>
                          <w:sz w:val="20"/>
                          <w:szCs w:val="20"/>
                        </w:rPr>
                        <w:t xml:space="preserve">agenciamento e fornecimento de passagens aéreas nacionais, </w:t>
                      </w:r>
                      <w:r>
                        <w:rPr>
                          <w:rStyle w:val="CharStyle8"/>
                          <w:sz w:val="20"/>
                          <w:szCs w:val="20"/>
                        </w:rPr>
                        <w:t>com o objetivo de viabilizar a participação de servidores (ou representantes) deste órgão/entidade no</w:t>
                      </w:r>
                    </w:p>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24</w:t>
                      </w:r>
                      <w:r>
                        <w:rPr>
                          <w:rStyle w:val="CharStyle5"/>
                          <w:vertAlign w:val="superscript"/>
                          <w:lang w:val="pt-PT" w:eastAsia="pt-PT" w:bidi="pt-PT"/>
                        </w:rPr>
                        <w:t>o</w:t>
                      </w:r>
                      <w:r>
                        <w:rPr>
                          <w:rStyle w:val="CharStyle5"/>
                          <w:lang w:val="pt-PT" w:eastAsia="pt-PT" w:bidi="pt-PT"/>
                        </w:rPr>
                        <w:t xml:space="preserve"> CONGRESSO PREVIDENCIÁRIO DA </w:t>
                      </w:r>
                      <w:r>
                        <w:rPr>
                          <w:rStyle w:val="CharStyle5"/>
                          <w:rFonts w:ascii="Courier New" w:eastAsia="Courier New" w:hAnsi="Courier New" w:cs="Courier New"/>
                          <w:smallCaps/>
                          <w:sz w:val="24"/>
                          <w:szCs w:val="24"/>
                          <w:lang w:val="pt-PT" w:eastAsia="pt-PT" w:bidi="pt-PT"/>
                        </w:rPr>
                        <w:t>apeprev,</w:t>
                      </w:r>
                      <w:r>
                        <w:rPr>
                          <w:rStyle w:val="CharStyle5"/>
                          <w:lang w:val="pt-PT" w:eastAsia="pt-PT" w:bidi="pt-PT"/>
                        </w:rPr>
                        <w:t xml:space="preserve"> 3</w:t>
                      </w:r>
                      <w:r>
                        <w:rPr>
                          <w:rStyle w:val="CharStyle5"/>
                          <w:vertAlign w:val="superscript"/>
                          <w:lang w:val="pt-PT" w:eastAsia="pt-PT" w:bidi="pt-PT"/>
                        </w:rPr>
                        <w:t>o</w:t>
                      </w:r>
                      <w:r>
                        <w:rPr>
                          <w:rStyle w:val="CharStyle5"/>
                          <w:lang w:val="pt-PT" w:eastAsia="pt-PT" w:bidi="pt-PT"/>
                        </w:rPr>
                        <w:t xml:space="preserve"> Seminário Internacional de</w:t>
                      </w:r>
                    </w:p>
                  </w:txbxContent>
                </v:textbox>
                <w10:wrap type="topAndBottom" anchorx="page"/>
              </v:shape>
            </w:pict>
          </mc:Fallback>
        </mc:AlternateContent>
      </w:r>
      <w:r>
        <mc:AlternateContent>
          <mc:Choice Requires="wps">
            <w:drawing>
              <wp:anchor distT="1184910" distB="532765" distL="0" distR="0" simplePos="0" relativeHeight="125829392" behindDoc="0" locked="0" layoutInCell="1" allowOverlap="1">
                <wp:simplePos x="0" y="0"/>
                <wp:positionH relativeFrom="page">
                  <wp:posOffset>4211320</wp:posOffset>
                </wp:positionH>
                <wp:positionV relativeFrom="paragraph">
                  <wp:posOffset>1184910</wp:posOffset>
                </wp:positionV>
                <wp:extent cx="210185" cy="158750"/>
                <wp:wrapTopAndBottom/>
                <wp:docPr id="16" name="Shape 16"/>
                <a:graphic xmlns:a="http://schemas.openxmlformats.org/drawingml/2006/main">
                  <a:graphicData uri="http://schemas.microsoft.com/office/word/2010/wordprocessingShape">
                    <wps:wsp>
                      <wps:cNvSpPr txBox="1"/>
                      <wps:spPr>
                        <a:xfrm>
                          <a:ext cx="210185"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center"/>
                            </w:pPr>
                            <w:r>
                              <w:rPr>
                                <w:rStyle w:val="CharStyle5"/>
                                <w:lang w:val="pt-PT" w:eastAsia="pt-PT" w:bidi="pt-PT"/>
                              </w:rPr>
                              <w:t>UN</w:t>
                            </w:r>
                          </w:p>
                        </w:txbxContent>
                      </wps:txbx>
                      <wps:bodyPr wrap="none" lIns="0" tIns="0" rIns="0" bIns="0">
                        <a:noAutoFit/>
                      </wps:bodyPr>
                    </wps:wsp>
                  </a:graphicData>
                </a:graphic>
              </wp:anchor>
            </w:drawing>
          </mc:Choice>
          <mc:Fallback>
            <w:pict>
              <v:shape id="_x0000_s1042" type="#_x0000_t202" style="position:absolute;margin-left:331.60000000000002pt;margin-top:93.299999999999997pt;width:16.550000000000001pt;height:12.5pt;z-index:-125829361;mso-wrap-distance-left:0;mso-wrap-distance-top:93.299999999999997pt;mso-wrap-distance-right:0;mso-wrap-distance-bottom:41.950000000000003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center"/>
                      </w:pPr>
                      <w:r>
                        <w:rPr>
                          <w:rStyle w:val="CharStyle5"/>
                          <w:lang w:val="pt-PT" w:eastAsia="pt-PT" w:bidi="pt-PT"/>
                        </w:rPr>
                        <w:t>UN</w:t>
                      </w:r>
                    </w:p>
                  </w:txbxContent>
                </v:textbox>
                <w10:wrap type="topAndBottom" anchorx="page"/>
              </v:shape>
            </w:pict>
          </mc:Fallback>
        </mc:AlternateContent>
      </w:r>
      <w:r>
        <mc:AlternateContent>
          <mc:Choice Requires="wps">
            <w:drawing>
              <wp:anchor distT="1181735" distB="535940" distL="0" distR="0" simplePos="0" relativeHeight="125829394" behindDoc="0" locked="0" layoutInCell="1" allowOverlap="1">
                <wp:simplePos x="0" y="0"/>
                <wp:positionH relativeFrom="page">
                  <wp:posOffset>4751070</wp:posOffset>
                </wp:positionH>
                <wp:positionV relativeFrom="paragraph">
                  <wp:posOffset>1181735</wp:posOffset>
                </wp:positionV>
                <wp:extent cx="167640" cy="158750"/>
                <wp:wrapTopAndBottom/>
                <wp:docPr id="18" name="Shape 18"/>
                <a:graphic xmlns:a="http://schemas.openxmlformats.org/drawingml/2006/main">
                  <a:graphicData uri="http://schemas.microsoft.com/office/word/2010/wordprocessingShape">
                    <wps:wsp>
                      <wps:cNvSpPr txBox="1"/>
                      <wps:spPr>
                        <a:xfrm>
                          <a:ext cx="167640"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02</w:t>
                            </w:r>
                          </w:p>
                        </w:txbxContent>
                      </wps:txbx>
                      <wps:bodyPr wrap="none" lIns="0" tIns="0" rIns="0" bIns="0">
                        <a:noAutoFit/>
                      </wps:bodyPr>
                    </wps:wsp>
                  </a:graphicData>
                </a:graphic>
              </wp:anchor>
            </w:drawing>
          </mc:Choice>
          <mc:Fallback>
            <w:pict>
              <v:shape id="_x0000_s1044" type="#_x0000_t202" style="position:absolute;margin-left:374.10000000000002pt;margin-top:93.049999999999997pt;width:13.200000000000001pt;height:12.5pt;z-index:-125829359;mso-wrap-distance-left:0;mso-wrap-distance-top:93.049999999999997pt;mso-wrap-distance-right:0;mso-wrap-distance-bottom:42.200000000000003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02</w:t>
                      </w:r>
                    </w:p>
                  </w:txbxContent>
                </v:textbox>
                <w10:wrap type="topAndBottom" anchorx="page"/>
              </v:shape>
            </w:pict>
          </mc:Fallback>
        </mc:AlternateContent>
      </w:r>
      <w:r>
        <mc:AlternateContent>
          <mc:Choice Requires="wps">
            <w:drawing>
              <wp:anchor distT="1187450" distB="539750" distL="0" distR="0" simplePos="0" relativeHeight="125829396" behindDoc="0" locked="0" layoutInCell="1" allowOverlap="1">
                <wp:simplePos x="0" y="0"/>
                <wp:positionH relativeFrom="page">
                  <wp:posOffset>5076825</wp:posOffset>
                </wp:positionH>
                <wp:positionV relativeFrom="paragraph">
                  <wp:posOffset>1187450</wp:posOffset>
                </wp:positionV>
                <wp:extent cx="648970" cy="149225"/>
                <wp:wrapTopAndBottom/>
                <wp:docPr id="20" name="Shape 20"/>
                <a:graphic xmlns:a="http://schemas.openxmlformats.org/drawingml/2006/main">
                  <a:graphicData uri="http://schemas.microsoft.com/office/word/2010/wordprocessingShape">
                    <wps:wsp>
                      <wps:cNvSpPr txBox="1"/>
                      <wps:spPr>
                        <a:xfrm>
                          <a:ext cx="64897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Style w:val="CharStyle8"/>
                              </w:rPr>
                              <w:t>R$ 3-33O,oo</w:t>
                            </w:r>
                          </w:p>
                        </w:txbxContent>
                      </wps:txbx>
                      <wps:bodyPr wrap="none" lIns="0" tIns="0" rIns="0" bIns="0">
                        <a:noAutoFit/>
                      </wps:bodyPr>
                    </wps:wsp>
                  </a:graphicData>
                </a:graphic>
              </wp:anchor>
            </w:drawing>
          </mc:Choice>
          <mc:Fallback>
            <w:pict>
              <v:shape id="_x0000_s1046" type="#_x0000_t202" style="position:absolute;margin-left:399.75pt;margin-top:93.5pt;width:51.100000000000001pt;height:11.75pt;z-index:-125829357;mso-wrap-distance-left:0;mso-wrap-distance-top:93.5pt;mso-wrap-distance-right:0;mso-wrap-distance-bottom:42.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Style w:val="CharStyle8"/>
                        </w:rPr>
                        <w:t>R$ 3-33O,oo</w:t>
                      </w:r>
                    </w:p>
                  </w:txbxContent>
                </v:textbox>
                <w10:wrap type="topAndBottom" anchorx="page"/>
              </v:shape>
            </w:pict>
          </mc:Fallback>
        </mc:AlternateContent>
      </w:r>
      <w:r>
        <mc:AlternateContent>
          <mc:Choice Requires="wps">
            <w:drawing>
              <wp:anchor distT="1184910" distB="532765" distL="0" distR="0" simplePos="0" relativeHeight="125829398" behindDoc="0" locked="0" layoutInCell="1" allowOverlap="1">
                <wp:simplePos x="0" y="0"/>
                <wp:positionH relativeFrom="page">
                  <wp:posOffset>5915025</wp:posOffset>
                </wp:positionH>
                <wp:positionV relativeFrom="paragraph">
                  <wp:posOffset>1184910</wp:posOffset>
                </wp:positionV>
                <wp:extent cx="709930" cy="158750"/>
                <wp:wrapTopAndBottom/>
                <wp:docPr id="22" name="Shape 22"/>
                <a:graphic xmlns:a="http://schemas.openxmlformats.org/drawingml/2006/main">
                  <a:graphicData uri="http://schemas.microsoft.com/office/word/2010/wordprocessingShape">
                    <wps:wsp>
                      <wps:cNvSpPr txBox="1"/>
                      <wps:spPr>
                        <a:xfrm>
                          <a:ext cx="709930"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R$ 6.660,00</w:t>
                            </w:r>
                          </w:p>
                        </w:txbxContent>
                      </wps:txbx>
                      <wps:bodyPr wrap="none" lIns="0" tIns="0" rIns="0" bIns="0">
                        <a:noAutoFit/>
                      </wps:bodyPr>
                    </wps:wsp>
                  </a:graphicData>
                </a:graphic>
              </wp:anchor>
            </w:drawing>
          </mc:Choice>
          <mc:Fallback>
            <w:pict>
              <v:shape id="_x0000_s1048" type="#_x0000_t202" style="position:absolute;margin-left:465.75pt;margin-top:93.299999999999997pt;width:55.899999999999999pt;height:12.5pt;z-index:-125829355;mso-wrap-distance-left:0;mso-wrap-distance-top:93.299999999999997pt;mso-wrap-distance-right:0;mso-wrap-distance-bottom:41.950000000000003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lang w:val="pt-PT" w:eastAsia="pt-PT" w:bidi="pt-PT"/>
                        </w:rPr>
                        <w:t>R$ 6.660,00</w:t>
                      </w:r>
                    </w:p>
                  </w:txbxContent>
                </v:textbox>
                <w10:wrap type="topAndBottom" anchorx="page"/>
              </v:shape>
            </w:pict>
          </mc:Fallback>
        </mc:AlternateContent>
      </w:r>
    </w:p>
    <w:p>
      <w:pPr>
        <w:pStyle w:val="Style7"/>
        <w:keepNext w:val="0"/>
        <w:keepLines w:val="0"/>
        <w:widowControl w:val="0"/>
        <w:shd w:val="clear" w:color="auto" w:fill="auto"/>
        <w:tabs>
          <w:tab w:pos="6619" w:val="left"/>
        </w:tabs>
        <w:bidi w:val="0"/>
        <w:spacing w:before="0" w:after="0" w:line="276" w:lineRule="auto"/>
        <w:ind w:left="0" w:right="0" w:firstLine="0"/>
        <w:jc w:val="center"/>
      </w:pPr>
      <w:r>
        <w:rPr>
          <w:rStyle w:val="CharStyle8"/>
        </w:rPr>
        <w:t>Travessa Jose Muniz de Castro, S/N, Cristo Rei-CEP:69.200-000/Borba-AM.</w:t>
        <w:br/>
        <w:t>Fone: (92)99602-0911</w:t>
        <w:tab/>
        <w:t>.</w:t>
      </w:r>
    </w:p>
    <w:p>
      <w:pPr>
        <w:pStyle w:val="Style7"/>
        <w:keepNext w:val="0"/>
        <w:keepLines w:val="0"/>
        <w:widowControl w:val="0"/>
        <w:shd w:val="clear" w:color="auto" w:fill="auto"/>
        <w:bidi w:val="0"/>
        <w:spacing w:before="0" w:after="0" w:line="276" w:lineRule="auto"/>
        <w:ind w:left="0" w:right="0" w:firstLine="0"/>
        <w:jc w:val="center"/>
      </w:pPr>
      <w:r>
        <w:rPr>
          <w:rStyle w:val="CharStyle8"/>
        </w:rPr>
        <w:t>https//borbaprev.transparencia-</w:t>
      </w:r>
      <w:r>
        <w:rPr>
          <w:rStyle w:val="CharStyle8"/>
        </w:rPr>
        <w:t>am.com.br</w:t>
      </w:r>
      <w:r>
        <w:rPr>
          <w:rStyle w:val="CharStyle8"/>
        </w:rPr>
        <w:br/>
        <w:t xml:space="preserve">e-mail: </w:t>
      </w:r>
      <w:r>
        <w:fldChar w:fldCharType="begin"/>
      </w:r>
      <w:r>
        <w:rPr/>
        <w:instrText> HYPERLINK "mailto:rpps@borbaprev.com" </w:instrText>
      </w:r>
      <w:r>
        <w:fldChar w:fldCharType="separate"/>
      </w:r>
      <w:r>
        <w:rPr>
          <w:rStyle w:val="CharStyle8"/>
          <w:lang w:val="en-US" w:eastAsia="en-US" w:bidi="en-US"/>
        </w:rPr>
        <w:t>rpps@borbaprev.com</w:t>
      </w:r>
      <w:r>
        <w:fldChar w:fldCharType="end"/>
      </w:r>
      <w:r>
        <w:br w:type="page"/>
      </w:r>
    </w:p>
    <w:p>
      <w:pPr>
        <w:pStyle w:val="Style14"/>
        <w:keepNext w:val="0"/>
        <w:keepLines w:val="0"/>
        <w:widowControl w:val="0"/>
        <w:shd w:val="clear" w:color="auto" w:fill="auto"/>
        <w:bidi w:val="0"/>
        <w:spacing w:before="0" w:after="0" w:line="240" w:lineRule="auto"/>
        <w:ind w:left="0" w:right="0" w:firstLine="0"/>
        <w:jc w:val="center"/>
        <w:rPr>
          <w:sz w:val="22"/>
          <w:szCs w:val="22"/>
        </w:rPr>
      </w:pPr>
      <w:r>
        <w:drawing>
          <wp:anchor distT="0" distB="0" distL="114300" distR="114300" simplePos="0" relativeHeight="125829400" behindDoc="0" locked="0" layoutInCell="1" allowOverlap="1">
            <wp:simplePos x="0" y="0"/>
            <wp:positionH relativeFrom="page">
              <wp:posOffset>3298825</wp:posOffset>
            </wp:positionH>
            <wp:positionV relativeFrom="margin">
              <wp:posOffset>827405</wp:posOffset>
            </wp:positionV>
            <wp:extent cx="768350" cy="780415"/>
            <wp:wrapTopAndBottom/>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7"/>
                    <a:stretch/>
                  </pic:blipFill>
                  <pic:spPr>
                    <a:xfrm>
                      <a:ext cx="768350" cy="780415"/>
                    </a:xfrm>
                    <a:prstGeom prst="rect"/>
                  </pic:spPr>
                </pic:pic>
              </a:graphicData>
            </a:graphic>
          </wp:anchor>
        </w:drawing>
      </w:r>
      <w:r>
        <w:rPr>
          <w:rStyle w:val="CharStyle15"/>
          <w:b/>
          <w:bCs/>
          <w:sz w:val="22"/>
          <w:szCs w:val="22"/>
          <w:lang w:val="pt-BR" w:eastAsia="pt-BR" w:bidi="pt-BR"/>
        </w:rPr>
        <w:t>BorbaPrev</w:t>
      </w:r>
    </w:p>
    <w:p>
      <w:pPr>
        <w:pStyle w:val="Style17"/>
        <w:keepNext/>
        <w:keepLines/>
        <w:widowControl w:val="0"/>
        <w:shd w:val="clear" w:color="auto" w:fill="auto"/>
        <w:bidi w:val="0"/>
        <w:spacing w:before="0" w:after="80" w:line="240" w:lineRule="auto"/>
        <w:ind w:left="0" w:right="0" w:firstLine="0"/>
        <w:jc w:val="center"/>
      </w:pPr>
      <w:bookmarkStart w:id="13" w:name="bookmark13"/>
      <w:r>
        <w:rPr>
          <w:rStyle w:val="CharStyle18"/>
          <w:b/>
          <w:bCs/>
          <w:lang w:val="pt-BR" w:eastAsia="pt-BR" w:bidi="pt-BR"/>
        </w:rPr>
        <w:t>FUNDO MUNICIPAL DE PREVIDÊNCIA SOCIAL DE BORBA-AM</w:t>
      </w:r>
      <w:bookmarkEnd w:id="13"/>
    </w:p>
    <w:p>
      <w:pPr>
        <w:pStyle w:val="Style4"/>
        <w:keepNext w:val="0"/>
        <w:keepLines w:val="0"/>
        <w:widowControl w:val="0"/>
        <w:shd w:val="clear" w:color="auto" w:fill="auto"/>
        <w:bidi w:val="0"/>
        <w:spacing w:before="0" w:after="0" w:line="240" w:lineRule="auto"/>
        <w:ind w:left="0" w:right="0" w:firstLine="780"/>
        <w:jc w:val="both"/>
      </w:pPr>
      <w:r>
        <w:rPr>
          <w:rStyle w:val="CharStyle5"/>
        </w:rPr>
        <w:t>Previdência, 16 a 18 de setembro de</w:t>
      </w:r>
    </w:p>
    <w:p>
      <w:pPr>
        <w:pStyle w:val="Style4"/>
        <w:keepNext w:val="0"/>
        <w:keepLines w:val="0"/>
        <w:widowControl w:val="0"/>
        <w:shd w:val="clear" w:color="auto" w:fill="auto"/>
        <w:bidi w:val="0"/>
        <w:spacing w:before="0" w:after="0" w:line="240" w:lineRule="auto"/>
        <w:ind w:left="0" w:right="0" w:firstLine="780"/>
        <w:jc w:val="both"/>
      </w:pPr>
      <w:r>
        <w:rPr>
          <w:rStyle w:val="CharStyle5"/>
        </w:rPr>
        <w:t>2026, Foz do Iguaçu- PR, será Manaus/</w:t>
      </w:r>
    </w:p>
    <w:p>
      <w:pPr>
        <w:pStyle w:val="Style4"/>
        <w:keepNext w:val="0"/>
        <w:keepLines w:val="0"/>
        <w:widowControl w:val="0"/>
        <w:shd w:val="clear" w:color="auto" w:fill="auto"/>
        <w:bidi w:val="0"/>
        <w:spacing w:before="0" w:after="0" w:line="230" w:lineRule="auto"/>
        <w:ind w:left="0" w:right="0" w:firstLine="780"/>
        <w:jc w:val="both"/>
      </w:pPr>
      <w:r>
        <w:rPr>
          <w:rStyle w:val="CharStyle5"/>
        </w:rPr>
        <w:t>Foz, saída do dia 15/09/2026 (ida) dia</w:t>
      </w:r>
    </w:p>
    <w:p>
      <w:pPr>
        <w:pStyle w:val="Style4"/>
        <w:keepNext w:val="0"/>
        <w:keepLines w:val="0"/>
        <w:widowControl w:val="0"/>
        <w:shd w:val="clear" w:color="auto" w:fill="auto"/>
        <w:tabs>
          <w:tab w:leader="underscore" w:pos="8460" w:val="left"/>
        </w:tabs>
        <w:bidi w:val="0"/>
        <w:spacing w:before="0" w:after="360" w:line="230" w:lineRule="auto"/>
        <w:ind w:left="0" w:right="0" w:firstLine="780"/>
        <w:jc w:val="left"/>
      </w:pPr>
      <w:r>
        <w:rPr>
          <w:rStyle w:val="CharStyle5"/>
          <w:u w:val="single"/>
        </w:rPr>
        <w:t>19/09/2026 (volta)</w:t>
      </w:r>
      <w:r>
        <w:rPr>
          <w:rStyle w:val="CharStyle5"/>
        </w:rPr>
        <w:tab/>
      </w:r>
    </w:p>
    <w:p>
      <w:pPr>
        <w:pStyle w:val="Style4"/>
        <w:keepNext w:val="0"/>
        <w:keepLines w:val="0"/>
        <w:widowControl w:val="0"/>
        <w:shd w:val="clear" w:color="auto" w:fill="auto"/>
        <w:bidi w:val="0"/>
        <w:spacing w:before="0" w:after="780" w:line="240" w:lineRule="auto"/>
        <w:ind w:left="3160" w:right="0" w:firstLine="0"/>
        <w:jc w:val="left"/>
      </w:pPr>
      <w:r>
        <mc:AlternateContent>
          <mc:Choice Requires="wps">
            <w:drawing>
              <wp:anchor distT="0" distB="0" distL="114300" distR="114300" simplePos="0" relativeHeight="125829401" behindDoc="0" locked="0" layoutInCell="1" allowOverlap="1">
                <wp:simplePos x="0" y="0"/>
                <wp:positionH relativeFrom="page">
                  <wp:posOffset>5928995</wp:posOffset>
                </wp:positionH>
                <wp:positionV relativeFrom="paragraph">
                  <wp:posOffset>12700</wp:posOffset>
                </wp:positionV>
                <wp:extent cx="709930" cy="158750"/>
                <wp:wrapSquare wrapText="left"/>
                <wp:docPr id="26" name="Shape 26"/>
                <a:graphic xmlns:a="http://schemas.openxmlformats.org/drawingml/2006/main">
                  <a:graphicData uri="http://schemas.microsoft.com/office/word/2010/wordprocessingShape">
                    <wps:wsp>
                      <wps:cNvSpPr txBox="1"/>
                      <wps:spPr>
                        <a:xfrm>
                          <a:ext cx="709930" cy="1587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rPr>
                              <w:t>R$ 6.660,00</w:t>
                            </w:r>
                          </w:p>
                        </w:txbxContent>
                      </wps:txbx>
                      <wps:bodyPr wrap="none" lIns="0" tIns="0" rIns="0" bIns="0">
                        <a:noAutoFit/>
                      </wps:bodyPr>
                    </wps:wsp>
                  </a:graphicData>
                </a:graphic>
              </wp:anchor>
            </w:drawing>
          </mc:Choice>
          <mc:Fallback>
            <w:pict>
              <v:shape id="_x0000_s1052" type="#_x0000_t202" style="position:absolute;margin-left:466.85000000000002pt;margin-top:1.pt;width:55.899999999999999pt;height:12.5pt;z-index:-125829352;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rPr>
                        <w:t>R$ 6.660,00</w:t>
                      </w:r>
                    </w:p>
                  </w:txbxContent>
                </v:textbox>
                <w10:wrap type="square" side="left" anchorx="page"/>
              </v:shape>
            </w:pict>
          </mc:Fallback>
        </mc:AlternateContent>
      </w:r>
      <w:r>
        <w:rPr>
          <w:rStyle w:val="CharStyle5"/>
        </w:rPr>
        <w:t>VALOR TOTAL</w:t>
      </w:r>
    </w:p>
    <w:p>
      <w:pPr>
        <w:pStyle w:val="Style14"/>
        <w:keepNext w:val="0"/>
        <w:keepLines w:val="0"/>
        <w:widowControl w:val="0"/>
        <w:numPr>
          <w:ilvl w:val="1"/>
          <w:numId w:val="1"/>
        </w:numPr>
        <w:shd w:val="clear" w:color="auto" w:fill="auto"/>
        <w:tabs>
          <w:tab w:pos="488" w:val="left"/>
        </w:tabs>
        <w:bidi w:val="0"/>
        <w:spacing w:before="0" w:after="80" w:line="350" w:lineRule="auto"/>
        <w:ind w:left="0" w:right="0" w:firstLine="0"/>
        <w:jc w:val="both"/>
      </w:pPr>
      <w:r>
        <w:rPr>
          <w:rStyle w:val="CharStyle15"/>
          <w:lang w:val="pt-BR" w:eastAsia="pt-BR" w:bidi="pt-BR"/>
        </w:rPr>
        <w:t>São anexos a este instrumento e vinculam esta contratação, independentemente de transcrição:</w:t>
      </w:r>
    </w:p>
    <w:p>
      <w:pPr>
        <w:pStyle w:val="Style14"/>
        <w:keepNext w:val="0"/>
        <w:keepLines w:val="0"/>
        <w:widowControl w:val="0"/>
        <w:numPr>
          <w:ilvl w:val="2"/>
          <w:numId w:val="1"/>
        </w:numPr>
        <w:shd w:val="clear" w:color="auto" w:fill="auto"/>
        <w:tabs>
          <w:tab w:pos="1282" w:val="left"/>
        </w:tabs>
        <w:bidi w:val="0"/>
        <w:spacing w:before="0" w:after="180" w:line="240" w:lineRule="auto"/>
        <w:ind w:left="0" w:right="0" w:firstLine="660"/>
        <w:jc w:val="both"/>
      </w:pPr>
      <w:r>
        <w:rPr>
          <w:rStyle w:val="CharStyle15"/>
          <w:lang w:val="pt-BR" w:eastAsia="pt-BR" w:bidi="pt-BR"/>
        </w:rPr>
        <w:t>0 Termo de Referência que embasou a contratação;</w:t>
      </w:r>
    </w:p>
    <w:p>
      <w:pPr>
        <w:pStyle w:val="Style14"/>
        <w:keepNext w:val="0"/>
        <w:keepLines w:val="0"/>
        <w:widowControl w:val="0"/>
        <w:numPr>
          <w:ilvl w:val="2"/>
          <w:numId w:val="1"/>
        </w:numPr>
        <w:shd w:val="clear" w:color="auto" w:fill="auto"/>
        <w:tabs>
          <w:tab w:pos="1311" w:val="left"/>
        </w:tabs>
        <w:bidi w:val="0"/>
        <w:spacing w:before="0" w:after="180" w:line="240" w:lineRule="auto"/>
        <w:ind w:left="0" w:right="0" w:firstLine="660"/>
        <w:jc w:val="both"/>
      </w:pPr>
      <w:r>
        <w:rPr>
          <w:rStyle w:val="CharStyle15"/>
          <w:lang w:val="pt-BR" w:eastAsia="pt-BR" w:bidi="pt-BR"/>
        </w:rPr>
        <w:t>A Autorização de Contratação Direta e/ou o Aviso de Dispensa.</w:t>
      </w:r>
    </w:p>
    <w:p>
      <w:pPr>
        <w:pStyle w:val="Style14"/>
        <w:keepNext w:val="0"/>
        <w:keepLines w:val="0"/>
        <w:widowControl w:val="0"/>
        <w:numPr>
          <w:ilvl w:val="2"/>
          <w:numId w:val="1"/>
        </w:numPr>
        <w:shd w:val="clear" w:color="auto" w:fill="auto"/>
        <w:tabs>
          <w:tab w:pos="1311" w:val="left"/>
        </w:tabs>
        <w:bidi w:val="0"/>
        <w:spacing w:before="0" w:after="180" w:line="240" w:lineRule="auto"/>
        <w:ind w:left="0" w:right="0" w:firstLine="660"/>
        <w:jc w:val="both"/>
      </w:pPr>
      <w:r>
        <w:rPr>
          <w:rStyle w:val="CharStyle15"/>
          <w:vertAlign w:val="superscript"/>
          <w:lang w:val="pt-BR" w:eastAsia="pt-BR" w:bidi="pt-BR"/>
        </w:rPr>
        <w:t>A</w:t>
      </w:r>
      <w:r>
        <w:rPr>
          <w:rStyle w:val="CharStyle15"/>
          <w:lang w:val="pt-BR" w:eastAsia="pt-BR" w:bidi="pt-BR"/>
        </w:rPr>
        <w:t xml:space="preserve"> Proposta do Contratado;</w:t>
      </w:r>
    </w:p>
    <w:p>
      <w:pPr>
        <w:pStyle w:val="Style14"/>
        <w:keepNext w:val="0"/>
        <w:keepLines w:val="0"/>
        <w:widowControl w:val="0"/>
        <w:numPr>
          <w:ilvl w:val="2"/>
          <w:numId w:val="1"/>
        </w:numPr>
        <w:shd w:val="clear" w:color="auto" w:fill="auto"/>
        <w:tabs>
          <w:tab w:pos="1326" w:val="left"/>
        </w:tabs>
        <w:bidi w:val="0"/>
        <w:spacing w:before="0" w:after="280" w:line="240" w:lineRule="auto"/>
        <w:ind w:left="0" w:right="0" w:firstLine="660"/>
        <w:jc w:val="both"/>
      </w:pPr>
      <w:r>
        <w:rPr>
          <w:rStyle w:val="CharStyle15"/>
          <w:lang w:val="pt-BR" w:eastAsia="pt-BR" w:bidi="pt-BR"/>
        </w:rPr>
        <w:t>Eventuais anexos dos documentos supracitados.</w:t>
      </w:r>
    </w:p>
    <w:p>
      <w:pPr>
        <w:pStyle w:val="Style14"/>
        <w:keepNext w:val="0"/>
        <w:keepLines w:val="0"/>
        <w:widowControl w:val="0"/>
        <w:numPr>
          <w:ilvl w:val="0"/>
          <w:numId w:val="1"/>
        </w:numPr>
        <w:shd w:val="clear" w:color="auto" w:fill="auto"/>
        <w:tabs>
          <w:tab w:pos="349" w:val="left"/>
        </w:tabs>
        <w:bidi w:val="0"/>
        <w:spacing w:before="0" w:after="280" w:line="240" w:lineRule="auto"/>
        <w:ind w:left="0" w:right="0" w:firstLine="0"/>
        <w:jc w:val="both"/>
      </w:pPr>
      <w:r>
        <w:rPr>
          <w:rStyle w:val="CharStyle15"/>
          <w:b/>
          <w:bCs/>
          <w:lang w:val="pt-BR" w:eastAsia="pt-BR" w:bidi="pt-BR"/>
        </w:rPr>
        <w:t>CLÁUSULA SEGUNDA - VIGÊNCIA E PRORROGAÇÃO</w:t>
      </w:r>
    </w:p>
    <w:p>
      <w:pPr>
        <w:pStyle w:val="Style2"/>
        <w:keepNext/>
        <w:keepLines/>
        <w:widowControl w:val="0"/>
        <w:numPr>
          <w:ilvl w:val="0"/>
          <w:numId w:val="1"/>
        </w:numPr>
        <w:shd w:val="clear" w:color="auto" w:fill="auto"/>
        <w:tabs>
          <w:tab w:pos="344" w:val="left"/>
        </w:tabs>
        <w:bidi w:val="0"/>
        <w:spacing w:before="0" w:line="307" w:lineRule="auto"/>
        <w:ind w:left="340" w:right="0" w:hanging="340"/>
        <w:jc w:val="both"/>
      </w:pPr>
      <w:bookmarkStart w:id="15" w:name="bookmark15"/>
      <w:r>
        <w:rPr>
          <w:rStyle w:val="CharStyle3"/>
          <w:b/>
          <w:bCs/>
        </w:rPr>
        <w:t>CLÁUSULA TERCEIRA - MODELOS DE EXECUÇÃO E GESTÃO CONTRATUAIS (art. 92, IV, VII e XVIII)</w:t>
      </w:r>
      <w:bookmarkEnd w:id="15"/>
    </w:p>
    <w:p>
      <w:pPr>
        <w:pStyle w:val="Style14"/>
        <w:keepNext w:val="0"/>
        <w:keepLines w:val="0"/>
        <w:widowControl w:val="0"/>
        <w:numPr>
          <w:ilvl w:val="1"/>
          <w:numId w:val="1"/>
        </w:numPr>
        <w:shd w:val="clear" w:color="auto" w:fill="auto"/>
        <w:tabs>
          <w:tab w:pos="483" w:val="left"/>
        </w:tabs>
        <w:bidi w:val="0"/>
        <w:spacing w:before="0" w:after="180" w:line="341" w:lineRule="auto"/>
        <w:ind w:left="0" w:right="0" w:firstLine="0"/>
        <w:jc w:val="both"/>
      </w:pPr>
      <w:r>
        <w:rPr>
          <w:rStyle w:val="CharStyle15"/>
          <w:lang w:val="pt-BR" w:eastAsia="pt-BR" w:bidi="pt-BR"/>
        </w:rPr>
        <w:t>0 regime de execução contratual, o modelo de gestão, assim como os prazos e condições de conclusão, entrega, observação e recebimento definitivo constam no Estudo Técnico Preliminar, anexo a este Contrato.</w:t>
      </w:r>
    </w:p>
    <w:p>
      <w:pPr>
        <w:pStyle w:val="Style2"/>
        <w:keepNext/>
        <w:keepLines/>
        <w:widowControl w:val="0"/>
        <w:numPr>
          <w:ilvl w:val="0"/>
          <w:numId w:val="1"/>
        </w:numPr>
        <w:shd w:val="clear" w:color="auto" w:fill="auto"/>
        <w:tabs>
          <w:tab w:pos="363" w:val="left"/>
        </w:tabs>
        <w:bidi w:val="0"/>
        <w:spacing w:before="0" w:after="180" w:line="240" w:lineRule="auto"/>
        <w:ind w:left="0" w:right="0" w:firstLine="0"/>
        <w:jc w:val="both"/>
      </w:pPr>
      <w:bookmarkStart w:id="17" w:name="bookmark17"/>
      <w:r>
        <w:rPr>
          <w:rStyle w:val="CharStyle3"/>
          <w:b/>
          <w:bCs/>
        </w:rPr>
        <w:t xml:space="preserve">CLÁUSULA QUARTA - </w:t>
      </w:r>
      <w:r>
        <w:rPr>
          <w:rStyle w:val="CharStyle3"/>
          <w:b/>
          <w:bCs/>
          <w:lang w:val="pt-PT" w:eastAsia="pt-PT" w:bidi="pt-PT"/>
        </w:rPr>
        <w:t>SUBCONTRATAÇÃO</w:t>
      </w:r>
      <w:bookmarkEnd w:id="17"/>
    </w:p>
    <w:p>
      <w:pPr>
        <w:pStyle w:val="Style14"/>
        <w:keepNext w:val="0"/>
        <w:keepLines w:val="0"/>
        <w:widowControl w:val="0"/>
        <w:numPr>
          <w:ilvl w:val="1"/>
          <w:numId w:val="1"/>
        </w:numPr>
        <w:shd w:val="clear" w:color="auto" w:fill="auto"/>
        <w:tabs>
          <w:tab w:pos="483" w:val="left"/>
        </w:tabs>
        <w:bidi w:val="0"/>
        <w:spacing w:before="0" w:after="280" w:line="240" w:lineRule="auto"/>
        <w:ind w:left="0" w:right="0" w:firstLine="0"/>
        <w:jc w:val="both"/>
      </w:pPr>
      <w:r>
        <w:rPr>
          <w:rStyle w:val="CharStyle15"/>
          <w:i/>
          <w:iCs/>
          <w:lang w:val="pt-BR" w:eastAsia="pt-BR" w:bidi="pt-BR"/>
        </w:rPr>
        <w:t xml:space="preserve">Não será admitida a </w:t>
      </w:r>
      <w:r>
        <w:rPr>
          <w:rStyle w:val="CharStyle15"/>
          <w:i/>
          <w:iCs/>
        </w:rPr>
        <w:t xml:space="preserve">subcontratação </w:t>
      </w:r>
      <w:r>
        <w:rPr>
          <w:rStyle w:val="CharStyle15"/>
          <w:i/>
          <w:iCs/>
          <w:lang w:val="pt-BR" w:eastAsia="pt-BR" w:bidi="pt-BR"/>
        </w:rPr>
        <w:t>do objeto contratual.</w:t>
      </w:r>
    </w:p>
    <w:p>
      <w:pPr>
        <w:pStyle w:val="Style14"/>
        <w:keepNext w:val="0"/>
        <w:keepLines w:val="0"/>
        <w:widowControl w:val="0"/>
        <w:numPr>
          <w:ilvl w:val="0"/>
          <w:numId w:val="1"/>
        </w:numPr>
        <w:shd w:val="clear" w:color="auto" w:fill="auto"/>
        <w:tabs>
          <w:tab w:pos="344" w:val="left"/>
        </w:tabs>
        <w:bidi w:val="0"/>
        <w:spacing w:before="0" w:after="180" w:line="240" w:lineRule="auto"/>
        <w:ind w:left="0" w:right="0" w:firstLine="0"/>
        <w:jc w:val="both"/>
      </w:pPr>
      <w:r>
        <w:rPr>
          <w:rStyle w:val="CharStyle15"/>
          <w:b/>
          <w:bCs/>
          <w:lang w:val="pt-BR" w:eastAsia="pt-BR" w:bidi="pt-BR"/>
        </w:rPr>
        <w:t>CLÁUSULA QUINTA - PAGAMENTO (art. 92, V e VI)</w:t>
      </w:r>
    </w:p>
    <w:p>
      <w:pPr>
        <w:pStyle w:val="Style2"/>
        <w:keepNext/>
        <w:keepLines/>
        <w:widowControl w:val="0"/>
        <w:numPr>
          <w:ilvl w:val="1"/>
          <w:numId w:val="1"/>
        </w:numPr>
        <w:shd w:val="clear" w:color="auto" w:fill="auto"/>
        <w:tabs>
          <w:tab w:pos="478" w:val="left"/>
        </w:tabs>
        <w:bidi w:val="0"/>
        <w:spacing w:before="0" w:after="180" w:line="240" w:lineRule="auto"/>
        <w:ind w:left="0" w:right="0" w:firstLine="0"/>
        <w:jc w:val="both"/>
      </w:pPr>
      <w:bookmarkStart w:id="19" w:name="bookmark19"/>
      <w:r>
        <w:rPr>
          <w:rStyle w:val="CharStyle3"/>
          <w:b/>
          <w:bCs/>
        </w:rPr>
        <w:t>PREÇO</w:t>
      </w:r>
      <w:bookmarkEnd w:id="19"/>
    </w:p>
    <w:p>
      <w:pPr>
        <w:pStyle w:val="Style14"/>
        <w:keepNext w:val="0"/>
        <w:keepLines w:val="0"/>
        <w:widowControl w:val="0"/>
        <w:numPr>
          <w:ilvl w:val="2"/>
          <w:numId w:val="1"/>
        </w:numPr>
        <w:shd w:val="clear" w:color="auto" w:fill="auto"/>
        <w:tabs>
          <w:tab w:pos="1278" w:val="left"/>
        </w:tabs>
        <w:bidi w:val="0"/>
        <w:spacing w:before="0" w:after="180" w:line="240" w:lineRule="auto"/>
        <w:ind w:left="0" w:right="0" w:firstLine="660"/>
        <w:jc w:val="both"/>
      </w:pPr>
      <w:r>
        <w:rPr>
          <w:rStyle w:val="CharStyle15"/>
          <w:lang w:val="pt-BR" w:eastAsia="pt-BR" w:bidi="pt-BR"/>
        </w:rPr>
        <w:t>O valor total da contratação é de R$6.660,00 (seis mil, seiscentos e sessenta reais)</w:t>
      </w:r>
    </w:p>
    <w:p>
      <w:pPr>
        <w:pStyle w:val="Style14"/>
        <w:keepNext w:val="0"/>
        <w:keepLines w:val="0"/>
        <w:widowControl w:val="0"/>
        <w:numPr>
          <w:ilvl w:val="2"/>
          <w:numId w:val="1"/>
        </w:numPr>
        <w:shd w:val="clear" w:color="auto" w:fill="auto"/>
        <w:tabs>
          <w:tab w:pos="1316" w:val="left"/>
        </w:tabs>
        <w:bidi w:val="0"/>
        <w:spacing w:before="0" w:after="180"/>
        <w:ind w:left="660" w:right="0"/>
        <w:jc w:val="both"/>
        <w:sectPr>
          <w:footerReference w:type="default" r:id="rId9"/>
          <w:footerReference w:type="first" r:id="rId10"/>
          <w:footnotePr>
            <w:pos w:val="pageBottom"/>
            <w:numFmt w:val="decimal"/>
            <w:numRestart w:val="continuous"/>
          </w:footnotePr>
          <w:pgSz w:w="11909" w:h="17331"/>
          <w:pgMar w:top="171" w:right="1312" w:bottom="2579" w:left="1256" w:header="0" w:footer="3" w:gutter="0"/>
          <w:pgNumType w:start="1"/>
          <w:cols w:space="720"/>
          <w:noEndnote/>
          <w:titlePg/>
          <w:rtlGutter w:val="0"/>
          <w:docGrid w:linePitch="360"/>
        </w:sectPr>
      </w:pPr>
      <w:r>
        <w:rPr>
          <w:rStyle w:val="CharStyle15"/>
          <w:lang w:val="pt-BR" w:eastAsia="pt-BR" w:bidi="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tyle14"/>
        <w:keepNext w:val="0"/>
        <w:keepLines w:val="0"/>
        <w:widowControl w:val="0"/>
        <w:shd w:val="clear" w:color="auto" w:fill="auto"/>
        <w:bidi w:val="0"/>
        <w:spacing w:before="0" w:after="0" w:line="305" w:lineRule="auto"/>
        <w:ind w:left="0" w:right="0" w:firstLine="0"/>
        <w:jc w:val="center"/>
        <w:rPr>
          <w:sz w:val="22"/>
          <w:szCs w:val="22"/>
        </w:rPr>
      </w:pPr>
      <w:r>
        <w:drawing>
          <wp:anchor distT="0" distB="0" distL="114300" distR="114300" simplePos="0" relativeHeight="125829403" behindDoc="0" locked="0" layoutInCell="1" allowOverlap="1">
            <wp:simplePos x="0" y="0"/>
            <wp:positionH relativeFrom="page">
              <wp:posOffset>3296920</wp:posOffset>
            </wp:positionH>
            <wp:positionV relativeFrom="margin">
              <wp:posOffset>6350</wp:posOffset>
            </wp:positionV>
            <wp:extent cx="768350" cy="780415"/>
            <wp:wrapTopAndBottom/>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11"/>
                    <a:stretch/>
                  </pic:blipFill>
                  <pic:spPr>
                    <a:xfrm>
                      <a:ext cx="768350" cy="780415"/>
                    </a:xfrm>
                    <a:prstGeom prst="rect"/>
                  </pic:spPr>
                </pic:pic>
              </a:graphicData>
            </a:graphic>
          </wp:anchor>
        </w:drawing>
      </w:r>
      <w:r>
        <w:rPr>
          <w:rStyle w:val="CharStyle15"/>
          <w:b/>
          <w:bCs/>
          <w:sz w:val="22"/>
          <w:szCs w:val="22"/>
          <w:lang w:val="pt-BR" w:eastAsia="pt-BR" w:bidi="pt-BR"/>
        </w:rPr>
        <w:t>BorbaPrev</w:t>
      </w:r>
    </w:p>
    <w:p>
      <w:pPr>
        <w:pStyle w:val="Style17"/>
        <w:keepNext/>
        <w:keepLines/>
        <w:widowControl w:val="0"/>
        <w:shd w:val="clear" w:color="auto" w:fill="auto"/>
        <w:bidi w:val="0"/>
        <w:spacing w:before="0" w:after="0"/>
        <w:ind w:left="0" w:right="0" w:firstLine="0"/>
        <w:jc w:val="center"/>
      </w:pPr>
      <w:bookmarkStart w:id="21" w:name="bookmark21"/>
      <w:r>
        <w:rPr>
          <w:rStyle w:val="CharStyle18"/>
          <w:b/>
          <w:bCs/>
          <w:lang w:val="pt-BR" w:eastAsia="pt-BR" w:bidi="pt-BR"/>
        </w:rPr>
        <w:t>FUNDO MUNICIPAL DE PREVIDÊNCIA SOCIAL DE BORBA-AM</w:t>
      </w:r>
      <w:bookmarkEnd w:id="21"/>
    </w:p>
    <w:p>
      <w:pPr>
        <w:pStyle w:val="Style14"/>
        <w:keepNext w:val="0"/>
        <w:keepLines w:val="0"/>
        <w:widowControl w:val="0"/>
        <w:numPr>
          <w:ilvl w:val="2"/>
          <w:numId w:val="1"/>
        </w:numPr>
        <w:shd w:val="clear" w:color="auto" w:fill="auto"/>
        <w:tabs>
          <w:tab w:pos="1272" w:val="left"/>
        </w:tabs>
        <w:bidi w:val="0"/>
        <w:spacing w:before="0"/>
        <w:ind w:left="640" w:right="0" w:firstLine="40"/>
        <w:jc w:val="both"/>
      </w:pPr>
      <w:r>
        <w:rPr>
          <w:rStyle w:val="CharStyle15"/>
          <w:lang w:val="pt-BR" w:eastAsia="pt-BR" w:bidi="pt-BR"/>
        </w:rPr>
        <w:t xml:space="preserve">O </w:t>
      </w:r>
      <w:r>
        <w:rPr>
          <w:rStyle w:val="CharStyle15"/>
          <w:i/>
          <w:iCs/>
          <w:lang w:val="pt-BR" w:eastAsia="pt-BR" w:bidi="pt-BR"/>
        </w:rPr>
        <w:t xml:space="preserve">valor acima é meramente </w:t>
      </w:r>
      <w:r>
        <w:rPr>
          <w:rStyle w:val="CharStyle15"/>
          <w:i/>
          <w:iCs/>
        </w:rPr>
        <w:t xml:space="preserve">estimativo, </w:t>
      </w:r>
      <w:r>
        <w:rPr>
          <w:rStyle w:val="CharStyle15"/>
          <w:i/>
          <w:iCs/>
          <w:lang w:val="pt-BR" w:eastAsia="pt-BR" w:bidi="pt-BR"/>
        </w:rPr>
        <w:t>de forma que os pagamentos devidos ao contratado dependerão dos quantitativos efetivamente fornecidos.</w:t>
      </w:r>
    </w:p>
    <w:p>
      <w:pPr>
        <w:pStyle w:val="Style2"/>
        <w:keepNext/>
        <w:keepLines/>
        <w:widowControl w:val="0"/>
        <w:numPr>
          <w:ilvl w:val="1"/>
          <w:numId w:val="1"/>
        </w:numPr>
        <w:shd w:val="clear" w:color="auto" w:fill="auto"/>
        <w:tabs>
          <w:tab w:pos="517" w:val="left"/>
        </w:tabs>
        <w:bidi w:val="0"/>
        <w:spacing w:before="0" w:after="180" w:line="240" w:lineRule="auto"/>
        <w:ind w:left="0" w:right="0" w:firstLine="0"/>
        <w:jc w:val="both"/>
      </w:pPr>
      <w:bookmarkStart w:id="23" w:name="bookmark23"/>
      <w:r>
        <w:rPr>
          <w:rStyle w:val="CharStyle3"/>
          <w:b/>
          <w:bCs/>
        </w:rPr>
        <w:t>FORMA DE PAGAMENTO</w:t>
      </w:r>
      <w:bookmarkEnd w:id="23"/>
    </w:p>
    <w:p>
      <w:pPr>
        <w:pStyle w:val="Style14"/>
        <w:keepNext w:val="0"/>
        <w:keepLines w:val="0"/>
        <w:widowControl w:val="0"/>
        <w:numPr>
          <w:ilvl w:val="2"/>
          <w:numId w:val="1"/>
        </w:numPr>
        <w:shd w:val="clear" w:color="auto" w:fill="auto"/>
        <w:tabs>
          <w:tab w:pos="1267" w:val="left"/>
        </w:tabs>
        <w:bidi w:val="0"/>
        <w:spacing w:before="0" w:line="346" w:lineRule="auto"/>
        <w:ind w:left="0" w:right="0" w:firstLine="640"/>
        <w:jc w:val="both"/>
      </w:pPr>
      <w:r>
        <w:rPr>
          <w:rStyle w:val="CharStyle15"/>
          <w:lang w:val="pt-BR" w:eastAsia="pt-BR" w:bidi="pt-BR"/>
        </w:rPr>
        <w:t xml:space="preserve">O </w:t>
      </w:r>
      <w:r>
        <w:rPr>
          <w:rStyle w:val="CharStyle15"/>
          <w:i/>
          <w:iCs/>
          <w:lang w:val="pt-BR" w:eastAsia="pt-BR" w:bidi="pt-BR"/>
        </w:rPr>
        <w:t>pagamento será realizado através de nota de empenho.</w:t>
      </w:r>
    </w:p>
    <w:p>
      <w:pPr>
        <w:pStyle w:val="Style14"/>
        <w:keepNext w:val="0"/>
        <w:keepLines w:val="0"/>
        <w:widowControl w:val="0"/>
        <w:numPr>
          <w:ilvl w:val="2"/>
          <w:numId w:val="1"/>
        </w:numPr>
        <w:shd w:val="clear" w:color="auto" w:fill="auto"/>
        <w:tabs>
          <w:tab w:pos="1286" w:val="left"/>
        </w:tabs>
        <w:bidi w:val="0"/>
        <w:spacing w:before="0" w:line="346" w:lineRule="auto"/>
        <w:ind w:left="640" w:right="0" w:firstLine="40"/>
        <w:jc w:val="both"/>
      </w:pPr>
      <w:r>
        <w:rPr>
          <w:rStyle w:val="CharStyle15"/>
          <w:i/>
          <w:iCs/>
          <w:lang w:val="pt-BR" w:eastAsia="pt-BR" w:bidi="pt-BR"/>
        </w:rPr>
        <w:t>Será considerada data do pagamento o dia em que constar como emitida a ordem bancária para pagamento.</w:t>
      </w:r>
    </w:p>
    <w:p>
      <w:pPr>
        <w:pStyle w:val="Style2"/>
        <w:keepNext/>
        <w:keepLines/>
        <w:widowControl w:val="0"/>
        <w:numPr>
          <w:ilvl w:val="1"/>
          <w:numId w:val="1"/>
        </w:numPr>
        <w:shd w:val="clear" w:color="auto" w:fill="auto"/>
        <w:tabs>
          <w:tab w:pos="507" w:val="left"/>
        </w:tabs>
        <w:bidi w:val="0"/>
        <w:spacing w:before="0" w:after="100" w:line="341" w:lineRule="auto"/>
        <w:ind w:left="0" w:right="0" w:firstLine="0"/>
        <w:jc w:val="both"/>
      </w:pPr>
      <w:bookmarkStart w:id="25" w:name="bookmark25"/>
      <w:r>
        <w:rPr>
          <w:rStyle w:val="CharStyle3"/>
          <w:b/>
          <w:bCs/>
        </w:rPr>
        <w:t>PRAZO DE PAGAMENTO</w:t>
      </w:r>
      <w:bookmarkEnd w:id="25"/>
    </w:p>
    <w:p>
      <w:pPr>
        <w:pStyle w:val="Style14"/>
        <w:keepNext w:val="0"/>
        <w:keepLines w:val="0"/>
        <w:widowControl w:val="0"/>
        <w:numPr>
          <w:ilvl w:val="2"/>
          <w:numId w:val="1"/>
        </w:numPr>
        <w:shd w:val="clear" w:color="auto" w:fill="auto"/>
        <w:tabs>
          <w:tab w:pos="1291" w:val="left"/>
        </w:tabs>
        <w:bidi w:val="0"/>
        <w:spacing w:before="0"/>
        <w:ind w:left="640" w:right="0" w:firstLine="40"/>
        <w:jc w:val="both"/>
      </w:pPr>
      <w:r>
        <w:rPr>
          <w:rStyle w:val="CharStyle15"/>
          <w:lang w:val="pt-BR" w:eastAsia="pt-BR" w:bidi="pt-BR"/>
        </w:rPr>
        <w:t>O pagamento será efetuado no prazo máximo de até 30 (Trinta) dias, a contar da liquidação da despesa.</w:t>
      </w:r>
    </w:p>
    <w:p>
      <w:pPr>
        <w:pStyle w:val="Style14"/>
        <w:keepNext w:val="0"/>
        <w:keepLines w:val="0"/>
        <w:widowControl w:val="0"/>
        <w:numPr>
          <w:ilvl w:val="2"/>
          <w:numId w:val="1"/>
        </w:numPr>
        <w:shd w:val="clear" w:color="auto" w:fill="auto"/>
        <w:tabs>
          <w:tab w:pos="1315" w:val="left"/>
        </w:tabs>
        <w:bidi w:val="0"/>
        <w:spacing w:before="0" w:line="346" w:lineRule="auto"/>
        <w:ind w:left="640" w:right="0" w:firstLine="40"/>
        <w:jc w:val="both"/>
      </w:pPr>
      <w:r>
        <w:rPr>
          <w:rStyle w:val="CharStyle15"/>
          <w:lang w:val="pt-BR" w:eastAsia="pt-BR" w:bidi="pt-BR"/>
        </w:rPr>
        <w:t>Considera-se ocorrido 0 recebimento da nota fiscal ou fatura quando o órgão contratante atestar a execução do objeto do contrato.</w:t>
      </w:r>
    </w:p>
    <w:p>
      <w:pPr>
        <w:pStyle w:val="Style14"/>
        <w:keepNext w:val="0"/>
        <w:keepLines w:val="0"/>
        <w:widowControl w:val="0"/>
        <w:numPr>
          <w:ilvl w:val="2"/>
          <w:numId w:val="1"/>
        </w:numPr>
        <w:shd w:val="clear" w:color="auto" w:fill="auto"/>
        <w:tabs>
          <w:tab w:pos="1325" w:val="left"/>
        </w:tabs>
        <w:bidi w:val="0"/>
        <w:spacing w:before="0"/>
        <w:ind w:left="640" w:right="0" w:firstLine="40"/>
        <w:jc w:val="both"/>
      </w:pPr>
      <w:r>
        <w:rPr>
          <w:rStyle w:val="CharStyle15"/>
          <w:lang w:val="pt-BR" w:eastAsia="pt-BR" w:bidi="pt-BR"/>
        </w:rPr>
        <w:t xml:space="preserve">No caso de atraso pelo Contratante, os valores devidos ao contratado serão atualizados </w:t>
      </w:r>
      <w:r>
        <w:rPr>
          <w:rStyle w:val="CharStyle15"/>
        </w:rPr>
        <w:t xml:space="preserve">monetariamente </w:t>
      </w:r>
      <w:r>
        <w:rPr>
          <w:rStyle w:val="CharStyle15"/>
          <w:lang w:val="pt-BR" w:eastAsia="pt-BR" w:bidi="pt-BR"/>
        </w:rPr>
        <w:t>entre o termo final do prazo de pagamento até a data de sua efetiva realização, mediante aplicação do índice de correção monetária.</w:t>
      </w:r>
    </w:p>
    <w:p>
      <w:pPr>
        <w:pStyle w:val="Style2"/>
        <w:keepNext/>
        <w:keepLines/>
        <w:widowControl w:val="0"/>
        <w:numPr>
          <w:ilvl w:val="1"/>
          <w:numId w:val="1"/>
        </w:numPr>
        <w:shd w:val="clear" w:color="auto" w:fill="auto"/>
        <w:tabs>
          <w:tab w:pos="522" w:val="left"/>
        </w:tabs>
        <w:bidi w:val="0"/>
        <w:spacing w:before="0" w:after="100" w:line="336" w:lineRule="auto"/>
        <w:ind w:left="0" w:right="0" w:firstLine="0"/>
        <w:jc w:val="both"/>
      </w:pPr>
      <w:bookmarkStart w:id="27" w:name="bookmark27"/>
      <w:r>
        <w:rPr>
          <w:rStyle w:val="CharStyle3"/>
          <w:b/>
          <w:bCs/>
        </w:rPr>
        <w:t>CONDIÇÕES DE PAGAMENTO</w:t>
      </w:r>
      <w:bookmarkEnd w:id="27"/>
    </w:p>
    <w:p>
      <w:pPr>
        <w:pStyle w:val="Style14"/>
        <w:keepNext w:val="0"/>
        <w:keepLines w:val="0"/>
        <w:widowControl w:val="0"/>
        <w:numPr>
          <w:ilvl w:val="2"/>
          <w:numId w:val="1"/>
        </w:numPr>
        <w:shd w:val="clear" w:color="auto" w:fill="auto"/>
        <w:tabs>
          <w:tab w:pos="1306" w:val="left"/>
        </w:tabs>
        <w:bidi w:val="0"/>
        <w:spacing w:before="0"/>
        <w:ind w:left="640" w:right="0" w:firstLine="40"/>
        <w:jc w:val="both"/>
      </w:pPr>
      <w:r>
        <w:rPr>
          <w:rStyle w:val="CharStyle15"/>
          <w:lang w:val="pt-BR" w:eastAsia="pt-BR" w:bidi="pt-BR"/>
        </w:rPr>
        <w:t>A emissão da Nota Fiscal/Fatura será precedida do recebimento definitivo do objeto da contratação, conforme disposto neste instrumento e/ou no Estudo Técnico Preliminar.</w:t>
      </w:r>
    </w:p>
    <w:p>
      <w:pPr>
        <w:pStyle w:val="Style14"/>
        <w:keepNext w:val="0"/>
        <w:keepLines w:val="0"/>
        <w:widowControl w:val="0"/>
        <w:numPr>
          <w:ilvl w:val="2"/>
          <w:numId w:val="1"/>
        </w:numPr>
        <w:shd w:val="clear" w:color="auto" w:fill="auto"/>
        <w:tabs>
          <w:tab w:pos="1325" w:val="left"/>
        </w:tabs>
        <w:bidi w:val="0"/>
        <w:spacing w:before="0"/>
        <w:ind w:left="640" w:right="0" w:firstLine="40"/>
        <w:jc w:val="both"/>
      </w:pPr>
      <w:r>
        <w:rPr>
          <w:rStyle w:val="CharStyle15"/>
          <w:lang w:val="pt-BR" w:eastAsia="pt-BR" w:bidi="pt-BR"/>
        </w:rPr>
        <w:t>Quando houver glosa parcial do objeto, o contratante deverá comunicara empresa para que emita a nota fiscal ou fatura com o valor exato dimensionado.</w:t>
      </w:r>
    </w:p>
    <w:p>
      <w:pPr>
        <w:pStyle w:val="Style14"/>
        <w:keepNext w:val="0"/>
        <w:keepLines w:val="0"/>
        <w:widowControl w:val="0"/>
        <w:numPr>
          <w:ilvl w:val="2"/>
          <w:numId w:val="1"/>
        </w:numPr>
        <w:shd w:val="clear" w:color="auto" w:fill="auto"/>
        <w:tabs>
          <w:tab w:pos="1334" w:val="left"/>
        </w:tabs>
        <w:bidi w:val="0"/>
        <w:spacing w:before="0" w:line="341" w:lineRule="auto"/>
        <w:ind w:left="640" w:right="0" w:firstLine="40"/>
        <w:jc w:val="both"/>
      </w:pPr>
      <w:r>
        <w:rPr>
          <w:rStyle w:val="CharStyle15"/>
          <w:lang w:val="pt-BR" w:eastAsia="pt-BR" w:bidi="pt-BR"/>
        </w:rPr>
        <w:t>O setor competente para proceder o pagamento deve verificar se a Nota Fiscal ou Fatura apresentada expressa os elementos necessários e essenciais do documento, tais como:</w:t>
      </w:r>
    </w:p>
    <w:p>
      <w:pPr>
        <w:pStyle w:val="Style14"/>
        <w:keepNext w:val="0"/>
        <w:keepLines w:val="0"/>
        <w:widowControl w:val="0"/>
        <w:numPr>
          <w:ilvl w:val="0"/>
          <w:numId w:val="3"/>
        </w:numPr>
        <w:shd w:val="clear" w:color="auto" w:fill="auto"/>
        <w:tabs>
          <w:tab w:pos="1498" w:val="left"/>
        </w:tabs>
        <w:bidi w:val="0"/>
        <w:spacing w:before="0" w:line="240" w:lineRule="auto"/>
        <w:ind w:left="1120" w:right="0" w:firstLine="0"/>
        <w:jc w:val="both"/>
      </w:pPr>
      <w:r>
        <w:rPr>
          <w:rStyle w:val="CharStyle15"/>
          <w:lang w:val="pt-BR" w:eastAsia="pt-BR" w:bidi="pt-BR"/>
        </w:rPr>
        <w:t>o prazo de validade;</w:t>
      </w:r>
    </w:p>
    <w:p>
      <w:pPr>
        <w:pStyle w:val="Style14"/>
        <w:keepNext w:val="0"/>
        <w:keepLines w:val="0"/>
        <w:widowControl w:val="0"/>
        <w:numPr>
          <w:ilvl w:val="0"/>
          <w:numId w:val="3"/>
        </w:numPr>
        <w:shd w:val="clear" w:color="auto" w:fill="auto"/>
        <w:tabs>
          <w:tab w:pos="1512" w:val="left"/>
        </w:tabs>
        <w:bidi w:val="0"/>
        <w:spacing w:before="0" w:line="240" w:lineRule="auto"/>
        <w:ind w:left="1120" w:right="0" w:firstLine="0"/>
        <w:jc w:val="both"/>
      </w:pPr>
      <w:r>
        <w:rPr>
          <w:rStyle w:val="CharStyle15"/>
          <w:lang w:val="pt-BR" w:eastAsia="pt-BR" w:bidi="pt-BR"/>
        </w:rPr>
        <w:t>a data da emissão;</w:t>
      </w:r>
    </w:p>
    <w:p>
      <w:pPr>
        <w:pStyle w:val="Style14"/>
        <w:keepNext w:val="0"/>
        <w:keepLines w:val="0"/>
        <w:widowControl w:val="0"/>
        <w:numPr>
          <w:ilvl w:val="0"/>
          <w:numId w:val="3"/>
        </w:numPr>
        <w:shd w:val="clear" w:color="auto" w:fill="auto"/>
        <w:tabs>
          <w:tab w:pos="1483" w:val="left"/>
        </w:tabs>
        <w:bidi w:val="0"/>
        <w:spacing w:before="0" w:line="240" w:lineRule="auto"/>
        <w:ind w:left="1120" w:right="0" w:firstLine="0"/>
        <w:jc w:val="both"/>
      </w:pPr>
      <w:r>
        <w:rPr>
          <w:rStyle w:val="CharStyle15"/>
          <w:lang w:val="pt-BR" w:eastAsia="pt-BR" w:bidi="pt-BR"/>
        </w:rPr>
        <w:t>os dados do contrato e do órgão contratante;</w:t>
      </w:r>
    </w:p>
    <w:p>
      <w:pPr>
        <w:pStyle w:val="Style14"/>
        <w:keepNext w:val="0"/>
        <w:keepLines w:val="0"/>
        <w:widowControl w:val="0"/>
        <w:numPr>
          <w:ilvl w:val="0"/>
          <w:numId w:val="3"/>
        </w:numPr>
        <w:shd w:val="clear" w:color="auto" w:fill="auto"/>
        <w:tabs>
          <w:tab w:pos="1512" w:val="left"/>
        </w:tabs>
        <w:bidi w:val="0"/>
        <w:spacing w:before="0" w:line="240" w:lineRule="auto"/>
        <w:ind w:left="1120" w:right="0" w:firstLine="0"/>
        <w:jc w:val="both"/>
      </w:pPr>
      <w:r>
        <w:rPr>
          <w:rStyle w:val="CharStyle15"/>
          <w:lang w:val="pt-BR" w:eastAsia="pt-BR" w:bidi="pt-BR"/>
        </w:rPr>
        <w:t>o período respectivo de execução do contrato;</w:t>
      </w:r>
    </w:p>
    <w:p>
      <w:pPr>
        <w:pStyle w:val="Style14"/>
        <w:keepNext w:val="0"/>
        <w:keepLines w:val="0"/>
        <w:widowControl w:val="0"/>
        <w:numPr>
          <w:ilvl w:val="0"/>
          <w:numId w:val="3"/>
        </w:numPr>
        <w:shd w:val="clear" w:color="auto" w:fill="auto"/>
        <w:tabs>
          <w:tab w:pos="1502" w:val="left"/>
        </w:tabs>
        <w:bidi w:val="0"/>
        <w:spacing w:before="0" w:line="240" w:lineRule="auto"/>
        <w:ind w:left="1120" w:right="0" w:firstLine="0"/>
        <w:jc w:val="both"/>
      </w:pPr>
      <w:r>
        <w:rPr>
          <w:rStyle w:val="CharStyle15"/>
          <w:lang w:val="pt-BR" w:eastAsia="pt-BR" w:bidi="pt-BR"/>
        </w:rPr>
        <w:t>0 valor a pagar; e</w:t>
      </w:r>
    </w:p>
    <w:p>
      <w:pPr>
        <w:pStyle w:val="Style14"/>
        <w:keepNext w:val="0"/>
        <w:keepLines w:val="0"/>
        <w:widowControl w:val="0"/>
        <w:numPr>
          <w:ilvl w:val="0"/>
          <w:numId w:val="3"/>
        </w:numPr>
        <w:shd w:val="clear" w:color="auto" w:fill="auto"/>
        <w:tabs>
          <w:tab w:pos="1470" w:val="left"/>
        </w:tabs>
        <w:bidi w:val="0"/>
        <w:spacing w:before="0" w:after="180" w:line="240" w:lineRule="auto"/>
        <w:ind w:left="1120" w:right="0" w:firstLine="0"/>
        <w:jc w:val="both"/>
      </w:pPr>
      <w:r>
        <w:rPr>
          <w:rStyle w:val="CharStyle15"/>
          <w:lang w:val="pt-BR" w:eastAsia="pt-BR" w:bidi="pt-BR"/>
        </w:rPr>
        <w:t>eventual destaque do valor de retenções tributárias cabíveis.</w:t>
      </w:r>
    </w:p>
    <w:p>
      <w:pPr>
        <w:pStyle w:val="Style14"/>
        <w:keepNext w:val="0"/>
        <w:keepLines w:val="0"/>
        <w:widowControl w:val="0"/>
        <w:numPr>
          <w:ilvl w:val="2"/>
          <w:numId w:val="1"/>
        </w:numPr>
        <w:shd w:val="clear" w:color="auto" w:fill="auto"/>
        <w:tabs>
          <w:tab w:pos="1354" w:val="left"/>
        </w:tabs>
        <w:bidi w:val="0"/>
        <w:spacing w:before="0" w:after="0" w:line="350" w:lineRule="auto"/>
        <w:ind w:left="640" w:right="0" w:firstLine="40"/>
        <w:jc w:val="both"/>
        <w:rPr>
          <w:sz w:val="19"/>
          <w:szCs w:val="19"/>
        </w:rPr>
      </w:pPr>
      <w:r>
        <w:rPr>
          <w:rStyle w:val="CharStyle15"/>
          <w:lang w:val="pt-BR" w:eastAsia="pt-BR" w:bidi="pt-BR"/>
        </w:rPr>
        <w:t xml:space="preserve">Havendo erro na apresentação da Nota Fiscal/Fatura, ou circunstância que impeça a liquidação da despesa, o pagamento ficará </w:t>
      </w:r>
      <w:r>
        <w:rPr>
          <w:rStyle w:val="CharStyle15"/>
        </w:rPr>
        <w:t xml:space="preserve">sobrestado </w:t>
      </w:r>
      <w:r>
        <w:rPr>
          <w:rStyle w:val="CharStyle15"/>
          <w:lang w:val="pt-BR" w:eastAsia="pt-BR" w:bidi="pt-BR"/>
        </w:rPr>
        <w:t xml:space="preserve">até que o contratado providencie as medidas saneadoras. Nessa hipótese, o prazo para pagamento </w:t>
      </w:r>
      <w:r>
        <w:rPr>
          <w:rStyle w:val="CharStyle15"/>
        </w:rPr>
        <w:t xml:space="preserve">iniciar-se-á </w:t>
      </w:r>
      <w:r>
        <w:rPr>
          <w:rStyle w:val="CharStyle15"/>
          <w:sz w:val="19"/>
          <w:szCs w:val="19"/>
          <w:lang w:val="pt-BR" w:eastAsia="pt-BR" w:bidi="pt-BR"/>
        </w:rPr>
        <w:t>Travessa Jose Muniz de Castro, S/N, Cristo Rei-CEP:69.200-000/Borba-AM.</w:t>
      </w:r>
    </w:p>
    <w:p>
      <w:pPr>
        <w:pStyle w:val="Style14"/>
        <w:keepNext w:val="0"/>
        <w:keepLines w:val="0"/>
        <w:widowControl w:val="0"/>
        <w:shd w:val="clear" w:color="auto" w:fill="auto"/>
        <w:bidi w:val="0"/>
        <w:spacing w:before="0" w:after="0" w:line="276" w:lineRule="auto"/>
        <w:ind w:left="0" w:right="0" w:firstLine="0"/>
        <w:jc w:val="center"/>
        <w:rPr>
          <w:sz w:val="19"/>
          <w:szCs w:val="19"/>
        </w:rPr>
      </w:pPr>
      <w:r>
        <w:rPr>
          <w:rStyle w:val="CharStyle15"/>
          <w:sz w:val="19"/>
          <w:szCs w:val="19"/>
          <w:lang w:val="pt-BR" w:eastAsia="pt-BR" w:bidi="pt-BR"/>
        </w:rPr>
        <w:t>Fone: (92)99602-0911</w:t>
      </w:r>
    </w:p>
    <w:p>
      <w:pPr>
        <w:pStyle w:val="Style14"/>
        <w:keepNext w:val="0"/>
        <w:keepLines w:val="0"/>
        <w:widowControl w:val="0"/>
        <w:shd w:val="clear" w:color="auto" w:fill="auto"/>
        <w:bidi w:val="0"/>
        <w:spacing w:before="0" w:line="276" w:lineRule="auto"/>
        <w:ind w:left="0" w:right="0" w:firstLine="0"/>
        <w:jc w:val="center"/>
        <w:rPr>
          <w:sz w:val="19"/>
          <w:szCs w:val="19"/>
        </w:rPr>
      </w:pPr>
      <w:r>
        <w:drawing>
          <wp:anchor distT="0" distB="0" distL="114300" distR="114300" simplePos="0" relativeHeight="125829404" behindDoc="0" locked="0" layoutInCell="1" allowOverlap="1">
            <wp:simplePos x="0" y="0"/>
            <wp:positionH relativeFrom="page">
              <wp:posOffset>5942965</wp:posOffset>
            </wp:positionH>
            <wp:positionV relativeFrom="margin">
              <wp:posOffset>8705215</wp:posOffset>
            </wp:positionV>
            <wp:extent cx="1012190" cy="1121410"/>
            <wp:wrapSquare wrapText="bothSides"/>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13"/>
                    <a:stretch/>
                  </pic:blipFill>
                  <pic:spPr>
                    <a:xfrm>
                      <a:ext cx="1012190" cy="1121410"/>
                    </a:xfrm>
                    <a:prstGeom prst="rect"/>
                  </pic:spPr>
                </pic:pic>
              </a:graphicData>
            </a:graphic>
          </wp:anchor>
        </w:drawing>
      </w:r>
      <w:r>
        <w:rPr>
          <w:rStyle w:val="CharStyle15"/>
          <w:sz w:val="19"/>
          <w:szCs w:val="19"/>
          <w:lang w:val="pt-BR" w:eastAsia="pt-BR" w:bidi="pt-BR"/>
        </w:rPr>
        <w:t>https//borbaprev.transparencia-</w:t>
      </w:r>
      <w:r>
        <w:rPr>
          <w:rStyle w:val="CharStyle15"/>
          <w:sz w:val="19"/>
          <w:szCs w:val="19"/>
          <w:lang w:val="pt-BR" w:eastAsia="pt-BR" w:bidi="pt-BR"/>
        </w:rPr>
        <w:t>am.com.br</w:t>
      </w:r>
      <w:r>
        <w:rPr>
          <w:rStyle w:val="CharStyle15"/>
          <w:sz w:val="19"/>
          <w:szCs w:val="19"/>
          <w:lang w:val="pt-BR" w:eastAsia="pt-BR" w:bidi="pt-BR"/>
        </w:rPr>
        <w:br/>
        <w:t xml:space="preserve">e-mail: </w:t>
      </w:r>
      <w:r>
        <w:fldChar w:fldCharType="begin"/>
      </w:r>
      <w:r>
        <w:rPr/>
        <w:instrText> HYPERLINK "mailto:rpps@borbaprev.com" </w:instrText>
      </w:r>
      <w:r>
        <w:fldChar w:fldCharType="separate"/>
      </w:r>
      <w:r>
        <w:rPr>
          <w:rStyle w:val="CharStyle15"/>
          <w:sz w:val="19"/>
          <w:szCs w:val="19"/>
          <w:lang w:val="en-US" w:eastAsia="en-US" w:bidi="en-US"/>
        </w:rPr>
        <w:t>rpps@borbaprev.com</w:t>
      </w:r>
      <w:r>
        <w:fldChar w:fldCharType="end"/>
      </w:r>
    </w:p>
    <w:p>
      <w:pPr>
        <w:widowControl w:val="0"/>
        <w:jc w:val="center"/>
        <w:rPr>
          <w:sz w:val="2"/>
          <w:szCs w:val="2"/>
        </w:rPr>
      </w:pPr>
      <w:r>
        <w:drawing>
          <wp:inline>
            <wp:extent cx="768350" cy="77406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5"/>
                    <a:stretch/>
                  </pic:blipFill>
                  <pic:spPr>
                    <a:xfrm>
                      <a:ext cx="768350" cy="774065"/>
                    </a:xfrm>
                    <a:prstGeom prst="rect"/>
                  </pic:spPr>
                </pic:pic>
              </a:graphicData>
            </a:graphic>
          </wp:inline>
        </w:drawing>
      </w:r>
    </w:p>
    <w:p>
      <w:pPr>
        <w:pStyle w:val="Style14"/>
        <w:keepNext w:val="0"/>
        <w:keepLines w:val="0"/>
        <w:widowControl w:val="0"/>
        <w:shd w:val="clear" w:color="auto" w:fill="auto"/>
        <w:bidi w:val="0"/>
        <w:spacing w:before="0" w:after="0" w:line="240"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100" w:line="240" w:lineRule="auto"/>
        <w:ind w:left="0" w:right="0" w:firstLine="0"/>
        <w:jc w:val="center"/>
      </w:pPr>
      <w:bookmarkStart w:id="29" w:name="bookmark29"/>
      <w:r>
        <w:rPr>
          <w:rStyle w:val="CharStyle18"/>
          <w:b/>
          <w:bCs/>
        </w:rPr>
        <w:t>FUNDO MUNICIPAL DE PREVIDÊNCIA SOCIAL DE BORBA-AM</w:t>
      </w:r>
      <w:bookmarkEnd w:id="29"/>
    </w:p>
    <w:p>
      <w:pPr>
        <w:pStyle w:val="Style14"/>
        <w:keepNext w:val="0"/>
        <w:keepLines w:val="0"/>
        <w:widowControl w:val="0"/>
        <w:shd w:val="clear" w:color="auto" w:fill="auto"/>
        <w:bidi w:val="0"/>
        <w:spacing w:before="0" w:line="350" w:lineRule="auto"/>
        <w:ind w:left="660" w:right="0"/>
        <w:jc w:val="both"/>
      </w:pPr>
      <w:r>
        <w:rPr>
          <w:rStyle w:val="CharStyle15"/>
        </w:rPr>
        <w:t xml:space="preserve">após a comprovação da regularização da situação, não acarretando qualquer </w:t>
      </w:r>
      <w:r>
        <w:rPr>
          <w:rStyle w:val="CharStyle15"/>
          <w:lang w:val="pt-BR" w:eastAsia="pt-BR" w:bidi="pt-BR"/>
        </w:rPr>
        <w:t xml:space="preserve">ônus </w:t>
      </w:r>
      <w:r>
        <w:rPr>
          <w:rStyle w:val="CharStyle15"/>
        </w:rPr>
        <w:t>para o contratante;</w:t>
      </w:r>
    </w:p>
    <w:p>
      <w:pPr>
        <w:pStyle w:val="Style14"/>
        <w:keepNext w:val="0"/>
        <w:keepLines w:val="0"/>
        <w:widowControl w:val="0"/>
        <w:numPr>
          <w:ilvl w:val="2"/>
          <w:numId w:val="1"/>
        </w:numPr>
        <w:shd w:val="clear" w:color="auto" w:fill="auto"/>
        <w:tabs>
          <w:tab w:pos="1294" w:val="left"/>
        </w:tabs>
        <w:bidi w:val="0"/>
        <w:spacing w:before="0" w:line="338" w:lineRule="auto"/>
        <w:ind w:left="660" w:right="0"/>
        <w:jc w:val="both"/>
      </w:pPr>
      <w:r>
        <w:rPr>
          <w:rStyle w:val="CharStyle15"/>
        </w:rPr>
        <w:t xml:space="preserve">A Nota Fiscal ou Fatura deverá ser obrigatoriamente acompanhada da comprovação da regularidade fiscal, constatada por meio de consulta </w:t>
      </w:r>
      <w:r>
        <w:rPr>
          <w:rStyle w:val="CharStyle15"/>
          <w:i/>
          <w:iCs/>
          <w:lang w:val="pt-BR" w:eastAsia="pt-BR" w:bidi="pt-BR"/>
        </w:rPr>
        <w:t>on-line</w:t>
      </w:r>
      <w:r>
        <w:rPr>
          <w:rStyle w:val="CharStyle15"/>
          <w:lang w:val="pt-BR" w:eastAsia="pt-BR" w:bidi="pt-BR"/>
        </w:rPr>
        <w:t xml:space="preserve"> </w:t>
      </w:r>
      <w:r>
        <w:rPr>
          <w:rStyle w:val="CharStyle15"/>
        </w:rPr>
        <w:t xml:space="preserve">ao S1CAF ou, na impossibilidade de acesso ao referido Sistema, mediante consulta aos sítios </w:t>
      </w:r>
      <w:r>
        <w:rPr>
          <w:rStyle w:val="CharStyle15"/>
          <w:lang w:val="pt-BR" w:eastAsia="pt-BR" w:bidi="pt-BR"/>
        </w:rPr>
        <w:t xml:space="preserve">eletrônicos </w:t>
      </w:r>
      <w:r>
        <w:rPr>
          <w:rStyle w:val="CharStyle15"/>
        </w:rPr>
        <w:t>oficiais ou à documentação mencionada no art. 68 da Lei n° 14.133/2021.</w:t>
      </w:r>
    </w:p>
    <w:p>
      <w:pPr>
        <w:pStyle w:val="Style14"/>
        <w:keepNext w:val="0"/>
        <w:keepLines w:val="0"/>
        <w:widowControl w:val="0"/>
        <w:numPr>
          <w:ilvl w:val="2"/>
          <w:numId w:val="1"/>
        </w:numPr>
        <w:shd w:val="clear" w:color="auto" w:fill="auto"/>
        <w:tabs>
          <w:tab w:pos="1309" w:val="left"/>
        </w:tabs>
        <w:bidi w:val="0"/>
        <w:spacing w:before="0"/>
        <w:ind w:left="660" w:right="0"/>
        <w:jc w:val="both"/>
      </w:pPr>
      <w:r>
        <w:rPr>
          <w:rStyle w:val="CharStyle15"/>
          <w:lang w:val="pt-BR" w:eastAsia="pt-BR" w:bidi="pt-BR"/>
        </w:rPr>
        <w:t xml:space="preserve">Previamente </w:t>
      </w:r>
      <w:r>
        <w:rPr>
          <w:rStyle w:val="CharStyle15"/>
        </w:rPr>
        <w:t>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pPr>
        <w:pStyle w:val="Style14"/>
        <w:keepNext w:val="0"/>
        <w:keepLines w:val="0"/>
        <w:widowControl w:val="0"/>
        <w:numPr>
          <w:ilvl w:val="2"/>
          <w:numId w:val="1"/>
        </w:numPr>
        <w:shd w:val="clear" w:color="auto" w:fill="auto"/>
        <w:tabs>
          <w:tab w:pos="1294" w:val="left"/>
        </w:tabs>
        <w:bidi w:val="0"/>
        <w:spacing w:before="0"/>
        <w:ind w:left="660" w:right="0"/>
        <w:jc w:val="both"/>
      </w:pPr>
      <w:r>
        <w:rPr>
          <w:rStyle w:val="CharStyle15"/>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Style14"/>
        <w:keepNext w:val="0"/>
        <w:keepLines w:val="0"/>
        <w:widowControl w:val="0"/>
        <w:numPr>
          <w:ilvl w:val="2"/>
          <w:numId w:val="1"/>
        </w:numPr>
        <w:shd w:val="clear" w:color="auto" w:fill="auto"/>
        <w:tabs>
          <w:tab w:pos="1318" w:val="left"/>
        </w:tabs>
        <w:bidi w:val="0"/>
        <w:spacing w:before="0"/>
        <w:ind w:left="660" w:right="0"/>
        <w:jc w:val="both"/>
      </w:pPr>
      <w:r>
        <w:rPr>
          <w:rStyle w:val="CharStyle15"/>
        </w:rPr>
        <w:t xml:space="preserve">Não havendo regularização ou sendo a defesa considerada improcedente, o contratante deverá comunicar aos órgãos responsáveis pela fiscalização da regularidade fiscal quanto à </w:t>
      </w:r>
      <w:r>
        <w:rPr>
          <w:rStyle w:val="CharStyle15"/>
          <w:lang w:val="pt-BR" w:eastAsia="pt-BR" w:bidi="pt-BR"/>
        </w:rPr>
        <w:t xml:space="preserve">inadimplência </w:t>
      </w:r>
      <w:r>
        <w:rPr>
          <w:rStyle w:val="CharStyle15"/>
        </w:rPr>
        <w:t>do contratado, bem como quanto à existência de pagamento a ser efetuado, para que sejam acionados os meios pertinentes e necessários para garantir o recebimento de seus créditos.</w:t>
      </w:r>
    </w:p>
    <w:p>
      <w:pPr>
        <w:pStyle w:val="Style14"/>
        <w:keepNext w:val="0"/>
        <w:keepLines w:val="0"/>
        <w:widowControl w:val="0"/>
        <w:numPr>
          <w:ilvl w:val="2"/>
          <w:numId w:val="1"/>
        </w:numPr>
        <w:shd w:val="clear" w:color="auto" w:fill="auto"/>
        <w:tabs>
          <w:tab w:pos="1309" w:val="left"/>
        </w:tabs>
        <w:bidi w:val="0"/>
        <w:spacing w:before="0" w:line="338" w:lineRule="auto"/>
        <w:ind w:left="660" w:right="0"/>
        <w:jc w:val="both"/>
      </w:pPr>
      <w:r>
        <w:rPr>
          <w:rStyle w:val="CharStyle15"/>
        </w:rPr>
        <w:t>Persistindo a irregularidade, o contratante deverá adotar as medidas necessárias à rescisão contratual nos autos do processo administrativo correspondente, assegurada ao contratado a ampla defesa.</w:t>
      </w:r>
    </w:p>
    <w:p>
      <w:pPr>
        <w:pStyle w:val="Style14"/>
        <w:keepNext w:val="0"/>
        <w:keepLines w:val="0"/>
        <w:widowControl w:val="0"/>
        <w:numPr>
          <w:ilvl w:val="2"/>
          <w:numId w:val="1"/>
        </w:numPr>
        <w:shd w:val="clear" w:color="auto" w:fill="auto"/>
        <w:tabs>
          <w:tab w:pos="1428" w:val="left"/>
        </w:tabs>
        <w:bidi w:val="0"/>
        <w:spacing w:before="0" w:line="341" w:lineRule="auto"/>
        <w:ind w:left="660" w:right="0"/>
        <w:jc w:val="both"/>
      </w:pPr>
      <w:r>
        <w:rPr>
          <w:rStyle w:val="CharStyle15"/>
        </w:rPr>
        <w:t>Havendo a efetiva execução do objeto, os pagamentos serão realizados normalmente, até que se decida pela rescisão do contrato, caso o contratado não regularize sua situação junto ao SICAF.</w:t>
      </w:r>
    </w:p>
    <w:p>
      <w:pPr>
        <w:pStyle w:val="Style14"/>
        <w:keepNext w:val="0"/>
        <w:keepLines w:val="0"/>
        <w:widowControl w:val="0"/>
        <w:numPr>
          <w:ilvl w:val="2"/>
          <w:numId w:val="1"/>
        </w:numPr>
        <w:shd w:val="clear" w:color="auto" w:fill="auto"/>
        <w:tabs>
          <w:tab w:pos="1347" w:val="left"/>
        </w:tabs>
        <w:bidi w:val="0"/>
        <w:spacing w:before="0" w:line="346" w:lineRule="auto"/>
        <w:ind w:left="660" w:right="0"/>
        <w:jc w:val="both"/>
      </w:pPr>
      <w:r>
        <w:rPr>
          <w:rStyle w:val="CharStyle15"/>
        </w:rPr>
        <w:t>Quando do pagamento, será efetuada a retenção tributária prevista na legislação aplicável.</w:t>
      </w:r>
    </w:p>
    <w:p>
      <w:pPr>
        <w:pStyle w:val="Style14"/>
        <w:keepNext w:val="0"/>
        <w:keepLines w:val="0"/>
        <w:widowControl w:val="0"/>
        <w:numPr>
          <w:ilvl w:val="3"/>
          <w:numId w:val="1"/>
        </w:numPr>
        <w:shd w:val="clear" w:color="auto" w:fill="auto"/>
        <w:tabs>
          <w:tab w:pos="2176" w:val="left"/>
        </w:tabs>
        <w:bidi w:val="0"/>
        <w:spacing w:before="0" w:line="341" w:lineRule="auto"/>
        <w:ind w:left="1340" w:right="0" w:firstLine="0"/>
        <w:jc w:val="both"/>
      </w:pPr>
      <w:r>
        <w:rPr>
          <w:rStyle w:val="CharStyle15"/>
        </w:rPr>
        <w:t>Independentemente do percentual de tributo inserido na planilha, no pagamento serão retidos na fonte os percentuais estabelecidos na legislação vigente.</w:t>
      </w:r>
    </w:p>
    <w:p>
      <w:pPr>
        <w:widowControl w:val="0"/>
        <w:jc w:val="center"/>
        <w:rPr>
          <w:sz w:val="2"/>
          <w:szCs w:val="2"/>
        </w:rPr>
      </w:pPr>
      <w:r>
        <w:drawing>
          <wp:inline>
            <wp:extent cx="768350" cy="780415"/>
            <wp:docPr id="37" name="Picutre 37"/>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7"/>
                    <a:stretch/>
                  </pic:blipFill>
                  <pic:spPr>
                    <a:xfrm>
                      <a:ext cx="768350" cy="780415"/>
                    </a:xfrm>
                    <a:prstGeom prst="rect"/>
                  </pic:spPr>
                </pic:pic>
              </a:graphicData>
            </a:graphic>
          </wp:inline>
        </w:drawing>
      </w:r>
    </w:p>
    <w:p>
      <w:pPr>
        <w:pStyle w:val="Style14"/>
        <w:keepNext w:val="0"/>
        <w:keepLines w:val="0"/>
        <w:widowControl w:val="0"/>
        <w:shd w:val="clear" w:color="auto" w:fill="auto"/>
        <w:bidi w:val="0"/>
        <w:spacing w:before="0" w:after="0" w:line="305"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ind w:left="0" w:right="0" w:firstLine="0"/>
        <w:jc w:val="center"/>
      </w:pPr>
      <w:bookmarkStart w:id="31" w:name="bookmark31"/>
      <w:r>
        <w:rPr>
          <w:rStyle w:val="CharStyle18"/>
          <w:b/>
          <w:bCs/>
        </w:rPr>
        <w:t>FUNDO MUNICIPAL DE PREVIDÊNCIA SOCIAL DE BORBA-AM</w:t>
      </w:r>
      <w:bookmarkEnd w:id="31"/>
    </w:p>
    <w:p>
      <w:pPr>
        <w:pStyle w:val="Style14"/>
        <w:keepNext w:val="0"/>
        <w:keepLines w:val="0"/>
        <w:widowControl w:val="0"/>
        <w:numPr>
          <w:ilvl w:val="3"/>
          <w:numId w:val="1"/>
        </w:numPr>
        <w:shd w:val="clear" w:color="auto" w:fill="auto"/>
        <w:tabs>
          <w:tab w:pos="2215" w:val="left"/>
        </w:tabs>
        <w:bidi w:val="0"/>
        <w:spacing w:before="0" w:after="200"/>
        <w:ind w:left="1340" w:right="0"/>
        <w:jc w:val="both"/>
      </w:pPr>
      <w:r>
        <w:rPr>
          <w:rStyle w:val="CharStyle15"/>
        </w:rPr>
        <w:t xml:space="preserve">O contratado </w:t>
      </w:r>
      <w:r>
        <w:rPr>
          <w:rStyle w:val="CharStyle15"/>
          <w:lang w:val="pt-BR" w:eastAsia="pt-BR" w:bidi="pt-BR"/>
        </w:rPr>
        <w:t xml:space="preserve">regularmente </w:t>
      </w:r>
      <w:r>
        <w:rPr>
          <w:rStyle w:val="CharStyle15"/>
        </w:rPr>
        <w:t>optante pelo Simples Nacional, nos termos da Lei Complementar n°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Style2"/>
        <w:keepNext/>
        <w:keepLines/>
        <w:widowControl w:val="0"/>
        <w:numPr>
          <w:ilvl w:val="0"/>
          <w:numId w:val="1"/>
        </w:numPr>
        <w:shd w:val="clear" w:color="auto" w:fill="auto"/>
        <w:tabs>
          <w:tab w:pos="318" w:val="left"/>
        </w:tabs>
        <w:bidi w:val="0"/>
        <w:spacing w:before="0" w:after="100"/>
        <w:ind w:left="0" w:right="0" w:firstLine="0"/>
        <w:jc w:val="left"/>
      </w:pPr>
      <w:bookmarkStart w:id="33" w:name="bookmark33"/>
      <w:r>
        <w:rPr>
          <w:rStyle w:val="CharStyle3"/>
          <w:b/>
          <w:bCs/>
          <w:lang w:val="pt-PT" w:eastAsia="pt-PT" w:bidi="pt-PT"/>
        </w:rPr>
        <w:t>CLÁUSULA SÉTIMA - OBRIGAÇÕES DO CONTRATANTE (art. 92, X, XI e XIV)</w:t>
      </w:r>
      <w:bookmarkEnd w:id="33"/>
    </w:p>
    <w:p>
      <w:pPr>
        <w:pStyle w:val="Style14"/>
        <w:keepNext w:val="0"/>
        <w:keepLines w:val="0"/>
        <w:widowControl w:val="0"/>
        <w:numPr>
          <w:ilvl w:val="1"/>
          <w:numId w:val="1"/>
        </w:numPr>
        <w:shd w:val="clear" w:color="auto" w:fill="auto"/>
        <w:tabs>
          <w:tab w:pos="452" w:val="left"/>
        </w:tabs>
        <w:bidi w:val="0"/>
        <w:spacing w:before="0" w:line="331" w:lineRule="auto"/>
        <w:ind w:left="0" w:right="0" w:firstLine="0"/>
        <w:jc w:val="both"/>
      </w:pPr>
      <w:r>
        <w:rPr>
          <w:rStyle w:val="CharStyle15"/>
        </w:rPr>
        <w:t xml:space="preserve">São obrigações do </w:t>
      </w:r>
      <w:r>
        <w:rPr>
          <w:rStyle w:val="CharStyle15"/>
          <w:b/>
          <w:bCs/>
        </w:rPr>
        <w:t>Contratante:</w:t>
      </w:r>
    </w:p>
    <w:p>
      <w:pPr>
        <w:pStyle w:val="Style14"/>
        <w:keepNext w:val="0"/>
        <w:keepLines w:val="0"/>
        <w:widowControl w:val="0"/>
        <w:numPr>
          <w:ilvl w:val="2"/>
          <w:numId w:val="1"/>
        </w:numPr>
        <w:shd w:val="clear" w:color="auto" w:fill="auto"/>
        <w:tabs>
          <w:tab w:pos="1231" w:val="left"/>
        </w:tabs>
        <w:bidi w:val="0"/>
        <w:spacing w:before="0" w:line="331" w:lineRule="auto"/>
        <w:ind w:left="640" w:right="0"/>
        <w:jc w:val="both"/>
      </w:pPr>
      <w:r>
        <w:rPr>
          <w:rStyle w:val="CharStyle15"/>
        </w:rPr>
        <w:t>Exigir o cumprimento de todas as obrigações assumidas pelo Contratado, de acordo com o contrato e seus anexos;</w:t>
      </w:r>
    </w:p>
    <w:p>
      <w:pPr>
        <w:pStyle w:val="Style14"/>
        <w:keepNext w:val="0"/>
        <w:keepLines w:val="0"/>
        <w:widowControl w:val="0"/>
        <w:numPr>
          <w:ilvl w:val="2"/>
          <w:numId w:val="1"/>
        </w:numPr>
        <w:shd w:val="clear" w:color="auto" w:fill="auto"/>
        <w:tabs>
          <w:tab w:pos="1275" w:val="left"/>
        </w:tabs>
        <w:bidi w:val="0"/>
        <w:spacing w:before="0" w:after="200" w:line="240" w:lineRule="auto"/>
        <w:ind w:left="640" w:right="0"/>
        <w:jc w:val="both"/>
      </w:pPr>
      <w:r>
        <w:rPr>
          <w:rStyle w:val="CharStyle15"/>
        </w:rPr>
        <w:t>EXECUTAR o objeto no prazo e condições estabelecidas no Termo de Referência;</w:t>
      </w:r>
    </w:p>
    <w:p>
      <w:pPr>
        <w:pStyle w:val="Style14"/>
        <w:keepNext w:val="0"/>
        <w:keepLines w:val="0"/>
        <w:widowControl w:val="0"/>
        <w:numPr>
          <w:ilvl w:val="2"/>
          <w:numId w:val="1"/>
        </w:numPr>
        <w:shd w:val="clear" w:color="auto" w:fill="auto"/>
        <w:tabs>
          <w:tab w:pos="1265" w:val="left"/>
        </w:tabs>
        <w:bidi w:val="0"/>
        <w:spacing w:before="0" w:line="338" w:lineRule="auto"/>
        <w:ind w:left="640" w:right="0"/>
        <w:jc w:val="both"/>
      </w:pPr>
      <w:r>
        <w:rPr>
          <w:rStyle w:val="CharStyle15"/>
        </w:rPr>
        <w:t xml:space="preserve">Notificar o Contratado, por escrito, sobre vícios, defeitos ou incorreções verificadas no objeto fornecido, para que seja por ele substituído, reparado ou corrigido, no total ou em parte, </w:t>
      </w:r>
      <w:r>
        <w:rPr>
          <w:rStyle w:val="CharStyle15"/>
          <w:lang w:val="pt-BR" w:eastAsia="pt-BR" w:bidi="pt-BR"/>
        </w:rPr>
        <w:t xml:space="preserve">às </w:t>
      </w:r>
      <w:r>
        <w:rPr>
          <w:rStyle w:val="CharStyle15"/>
        </w:rPr>
        <w:t>suas expensas;</w:t>
      </w:r>
    </w:p>
    <w:p>
      <w:pPr>
        <w:pStyle w:val="Style14"/>
        <w:keepNext w:val="0"/>
        <w:keepLines w:val="0"/>
        <w:widowControl w:val="0"/>
        <w:numPr>
          <w:ilvl w:val="2"/>
          <w:numId w:val="1"/>
        </w:numPr>
        <w:shd w:val="clear" w:color="auto" w:fill="auto"/>
        <w:tabs>
          <w:tab w:pos="1270" w:val="left"/>
        </w:tabs>
        <w:bidi w:val="0"/>
        <w:spacing w:before="0" w:line="341" w:lineRule="auto"/>
        <w:ind w:left="640" w:right="0"/>
        <w:jc w:val="both"/>
      </w:pPr>
      <w:r>
        <w:rPr>
          <w:rStyle w:val="CharStyle15"/>
        </w:rPr>
        <w:t>Acompanhar e fiscalizar a execução do contrato e o cumprimento das obrigações pelo Contratado;</w:t>
      </w:r>
    </w:p>
    <w:p>
      <w:pPr>
        <w:pStyle w:val="Style14"/>
        <w:keepNext w:val="0"/>
        <w:keepLines w:val="0"/>
        <w:widowControl w:val="0"/>
        <w:numPr>
          <w:ilvl w:val="2"/>
          <w:numId w:val="1"/>
        </w:numPr>
        <w:shd w:val="clear" w:color="auto" w:fill="auto"/>
        <w:tabs>
          <w:tab w:pos="1265" w:val="left"/>
        </w:tabs>
        <w:bidi w:val="0"/>
        <w:spacing w:before="0" w:line="341" w:lineRule="auto"/>
        <w:ind w:left="640" w:right="0"/>
        <w:jc w:val="both"/>
      </w:pPr>
      <w:r>
        <w:rPr>
          <w:rStyle w:val="CharStyle15"/>
        </w:rPr>
        <w:t>Efetuar o pagamento ao Contratado do valor correspondente ao fornecimento do objeto, no prazo, forma e condições estabelecidos no presente Contrato;</w:t>
      </w:r>
    </w:p>
    <w:p>
      <w:pPr>
        <w:pStyle w:val="Style14"/>
        <w:keepNext w:val="0"/>
        <w:keepLines w:val="0"/>
        <w:widowControl w:val="0"/>
        <w:numPr>
          <w:ilvl w:val="2"/>
          <w:numId w:val="1"/>
        </w:numPr>
        <w:shd w:val="clear" w:color="auto" w:fill="auto"/>
        <w:tabs>
          <w:tab w:pos="1279" w:val="left"/>
        </w:tabs>
        <w:bidi w:val="0"/>
        <w:spacing w:before="0" w:line="341" w:lineRule="auto"/>
        <w:ind w:left="640" w:right="0"/>
        <w:jc w:val="both"/>
      </w:pPr>
      <w:r>
        <w:rPr>
          <w:rStyle w:val="CharStyle15"/>
        </w:rPr>
        <w:t>Aplicar ao Contratado sanções motivadas pela inexecução total ou parcial do Contrato;</w:t>
      </w:r>
    </w:p>
    <w:p>
      <w:pPr>
        <w:pStyle w:val="Style14"/>
        <w:keepNext w:val="0"/>
        <w:keepLines w:val="0"/>
        <w:widowControl w:val="0"/>
        <w:numPr>
          <w:ilvl w:val="2"/>
          <w:numId w:val="1"/>
        </w:numPr>
        <w:shd w:val="clear" w:color="auto" w:fill="auto"/>
        <w:tabs>
          <w:tab w:pos="1260" w:val="left"/>
        </w:tabs>
        <w:bidi w:val="0"/>
        <w:spacing w:before="0"/>
        <w:ind w:left="640" w:right="0"/>
        <w:jc w:val="both"/>
      </w:pPr>
      <w:r>
        <w:rPr>
          <w:rStyle w:val="CharStyle15"/>
        </w:rPr>
        <w:t>Cientificar a Procuradoria Geral do Município para adoção das medidas cabíveis quando do descumprimento de obrigações pelo Contratado;</w:t>
      </w:r>
    </w:p>
    <w:p>
      <w:pPr>
        <w:pStyle w:val="Style14"/>
        <w:keepNext w:val="0"/>
        <w:keepLines w:val="0"/>
        <w:widowControl w:val="0"/>
        <w:numPr>
          <w:ilvl w:val="2"/>
          <w:numId w:val="1"/>
        </w:numPr>
        <w:shd w:val="clear" w:color="auto" w:fill="auto"/>
        <w:tabs>
          <w:tab w:pos="1279" w:val="left"/>
        </w:tabs>
        <w:bidi w:val="0"/>
        <w:spacing w:before="0" w:line="338" w:lineRule="auto"/>
        <w:ind w:left="640" w:right="0"/>
        <w:jc w:val="both"/>
      </w:pPr>
      <w:r>
        <w:rPr>
          <w:rStyle w:val="CharStyle15"/>
          <w:lang w:val="pt-BR" w:eastAsia="pt-BR" w:bidi="pt-BR"/>
        </w:rPr>
        <w:t xml:space="preserve">Explicitamente </w:t>
      </w:r>
      <w:r>
        <w:rPr>
          <w:rStyle w:val="CharStyle15"/>
        </w:rPr>
        <w:t>emitir decisão sobre todas as solicitações e reclamações relacionadas à execução do presente Contrato, ressalvados os requerimentos manifestamente impertinentes, meramente protelatórios ou de nenhum interesse para a boa execução do ajuste.</w:t>
      </w:r>
    </w:p>
    <w:p>
      <w:pPr>
        <w:pStyle w:val="Style14"/>
        <w:keepNext w:val="0"/>
        <w:keepLines w:val="0"/>
        <w:widowControl w:val="0"/>
        <w:numPr>
          <w:ilvl w:val="2"/>
          <w:numId w:val="1"/>
        </w:numPr>
        <w:shd w:val="clear" w:color="auto" w:fill="auto"/>
        <w:tabs>
          <w:tab w:pos="1299" w:val="left"/>
        </w:tabs>
        <w:bidi w:val="0"/>
        <w:spacing w:before="0" w:line="326" w:lineRule="auto"/>
        <w:ind w:left="640" w:right="0"/>
        <w:jc w:val="both"/>
      </w:pPr>
      <w:r>
        <w:rPr>
          <w:rStyle w:val="CharStyle15"/>
        </w:rPr>
        <w:t>Responder eventuais pedidos de restabelecimento do equilíbrio económico- financeiro feitos pelo contratado no prazo máximo de 10 (dez) dias.</w:t>
      </w:r>
    </w:p>
    <w:p>
      <w:pPr>
        <w:pStyle w:val="Style14"/>
        <w:keepNext w:val="0"/>
        <w:keepLines w:val="0"/>
        <w:widowControl w:val="0"/>
        <w:numPr>
          <w:ilvl w:val="2"/>
          <w:numId w:val="1"/>
        </w:numPr>
        <w:shd w:val="clear" w:color="auto" w:fill="auto"/>
        <w:tabs>
          <w:tab w:pos="1356" w:val="left"/>
        </w:tabs>
        <w:bidi w:val="0"/>
        <w:spacing w:before="0" w:line="341" w:lineRule="auto"/>
        <w:ind w:left="640" w:right="0"/>
        <w:jc w:val="both"/>
      </w:pPr>
      <w:r>
        <w:rPr>
          <w:rStyle w:val="CharStyle15"/>
        </w:rPr>
        <w:t>Notificar os emitentes das garantias quanto ao início de processo administrativo para apuração de descumprimento de cláusulas contratuais.</w:t>
      </w:r>
    </w:p>
    <w:p>
      <w:pPr>
        <w:widowControl w:val="0"/>
        <w:jc w:val="center"/>
        <w:rPr>
          <w:sz w:val="2"/>
          <w:szCs w:val="2"/>
        </w:rPr>
      </w:pPr>
      <w:r>
        <w:drawing>
          <wp:inline>
            <wp:extent cx="774065" cy="780415"/>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9"/>
                    <a:stretch/>
                  </pic:blipFill>
                  <pic:spPr>
                    <a:xfrm>
                      <a:ext cx="774065" cy="780415"/>
                    </a:xfrm>
                    <a:prstGeom prst="rect"/>
                  </pic:spPr>
                </pic:pic>
              </a:graphicData>
            </a:graphic>
          </wp:inline>
        </w:drawing>
      </w:r>
    </w:p>
    <w:p>
      <w:pPr>
        <w:pStyle w:val="Style14"/>
        <w:keepNext w:val="0"/>
        <w:keepLines w:val="0"/>
        <w:widowControl w:val="0"/>
        <w:shd w:val="clear" w:color="auto" w:fill="auto"/>
        <w:bidi w:val="0"/>
        <w:spacing w:before="0" w:after="0" w:line="307"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line="283" w:lineRule="auto"/>
        <w:ind w:left="0" w:right="0" w:firstLine="0"/>
        <w:jc w:val="center"/>
      </w:pPr>
      <w:bookmarkStart w:id="35" w:name="bookmark35"/>
      <w:r>
        <w:rPr>
          <w:rStyle w:val="CharStyle18"/>
          <w:b/>
          <w:bCs/>
        </w:rPr>
        <w:t>FUNDO MUNICIPAL DE PREVIDÊNCIA SOCIAL DE BORBA-AM</w:t>
      </w:r>
      <w:bookmarkEnd w:id="35"/>
    </w:p>
    <w:p>
      <w:pPr>
        <w:pStyle w:val="Style14"/>
        <w:keepNext w:val="0"/>
        <w:keepLines w:val="0"/>
        <w:widowControl w:val="0"/>
        <w:numPr>
          <w:ilvl w:val="1"/>
          <w:numId w:val="1"/>
        </w:numPr>
        <w:shd w:val="clear" w:color="auto" w:fill="auto"/>
        <w:tabs>
          <w:tab w:pos="466" w:val="left"/>
        </w:tabs>
        <w:bidi w:val="0"/>
        <w:spacing w:before="0" w:after="220" w:line="338" w:lineRule="auto"/>
        <w:ind w:left="0" w:right="0" w:firstLine="0"/>
        <w:jc w:val="both"/>
      </w:pPr>
      <w:r>
        <w:rPr>
          <w:rStyle w:val="CharStyle15"/>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Style2"/>
        <w:keepNext/>
        <w:keepLines/>
        <w:widowControl w:val="0"/>
        <w:numPr>
          <w:ilvl w:val="0"/>
          <w:numId w:val="5"/>
        </w:numPr>
        <w:shd w:val="clear" w:color="auto" w:fill="auto"/>
        <w:tabs>
          <w:tab w:pos="289" w:val="left"/>
        </w:tabs>
        <w:bidi w:val="0"/>
        <w:spacing w:before="0" w:after="100" w:line="334" w:lineRule="auto"/>
        <w:ind w:left="0" w:right="0" w:firstLine="0"/>
        <w:jc w:val="both"/>
      </w:pPr>
      <w:bookmarkStart w:id="37" w:name="bookmark37"/>
      <w:r>
        <w:rPr>
          <w:rStyle w:val="CharStyle3"/>
          <w:b/>
          <w:bCs/>
          <w:lang w:val="pt-PT" w:eastAsia="pt-PT" w:bidi="pt-PT"/>
        </w:rPr>
        <w:t>CLÁUSULA OITAVA - OBRIGAÇÕES DO CONTRATADO (art. 92, XIV, XVI e XVII)</w:t>
      </w:r>
      <w:bookmarkEnd w:id="37"/>
    </w:p>
    <w:p>
      <w:pPr>
        <w:pStyle w:val="Style14"/>
        <w:keepNext w:val="0"/>
        <w:keepLines w:val="0"/>
        <w:widowControl w:val="0"/>
        <w:numPr>
          <w:ilvl w:val="1"/>
          <w:numId w:val="5"/>
        </w:numPr>
        <w:shd w:val="clear" w:color="auto" w:fill="auto"/>
        <w:tabs>
          <w:tab w:pos="428" w:val="left"/>
        </w:tabs>
        <w:bidi w:val="0"/>
        <w:spacing w:before="0" w:line="334" w:lineRule="auto"/>
        <w:ind w:left="0" w:right="0" w:firstLine="0"/>
        <w:jc w:val="both"/>
      </w:pPr>
      <w:r>
        <w:rPr>
          <w:rStyle w:val="CharStyle15"/>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Style14"/>
        <w:keepNext w:val="0"/>
        <w:keepLines w:val="0"/>
        <w:widowControl w:val="0"/>
        <w:numPr>
          <w:ilvl w:val="2"/>
          <w:numId w:val="5"/>
        </w:numPr>
        <w:shd w:val="clear" w:color="auto" w:fill="auto"/>
        <w:tabs>
          <w:tab w:pos="1182" w:val="left"/>
        </w:tabs>
        <w:bidi w:val="0"/>
        <w:spacing w:before="0"/>
        <w:ind w:left="620" w:right="0" w:firstLine="40"/>
        <w:jc w:val="both"/>
      </w:pPr>
      <w:r>
        <w:rPr>
          <w:rStyle w:val="CharStyle15"/>
        </w:rPr>
        <w:t>Entregar o objeto acompanhado do manual do usuário, com uma versão em português, e da relação da rede de assistência técnica autorizada;</w:t>
      </w:r>
    </w:p>
    <w:p>
      <w:pPr>
        <w:pStyle w:val="Style14"/>
        <w:keepNext w:val="0"/>
        <w:keepLines w:val="0"/>
        <w:widowControl w:val="0"/>
        <w:numPr>
          <w:ilvl w:val="2"/>
          <w:numId w:val="5"/>
        </w:numPr>
        <w:shd w:val="clear" w:color="auto" w:fill="auto"/>
        <w:tabs>
          <w:tab w:pos="1206" w:val="left"/>
        </w:tabs>
        <w:bidi w:val="0"/>
        <w:spacing w:before="0" w:line="346" w:lineRule="auto"/>
        <w:ind w:left="620" w:right="0" w:firstLine="40"/>
        <w:jc w:val="both"/>
      </w:pPr>
      <w:r>
        <w:rPr>
          <w:rStyle w:val="CharStyle15"/>
          <w:lang w:val="pt-BR" w:eastAsia="pt-BR" w:bidi="pt-BR"/>
        </w:rPr>
        <w:t xml:space="preserve">Responsabilizar-se </w:t>
      </w:r>
      <w:r>
        <w:rPr>
          <w:rStyle w:val="CharStyle15"/>
        </w:rPr>
        <w:t>pelos vícios e danos decorrentes do objeto, de acordo com os artigos 12,13 e 17 a 27, do Código de Defesa do Consumidor (Lei n° 8.078/1990);</w:t>
      </w:r>
    </w:p>
    <w:p>
      <w:pPr>
        <w:pStyle w:val="Style14"/>
        <w:keepNext w:val="0"/>
        <w:keepLines w:val="0"/>
        <w:widowControl w:val="0"/>
        <w:numPr>
          <w:ilvl w:val="2"/>
          <w:numId w:val="5"/>
        </w:numPr>
        <w:shd w:val="clear" w:color="auto" w:fill="auto"/>
        <w:tabs>
          <w:tab w:pos="1211" w:val="left"/>
        </w:tabs>
        <w:bidi w:val="0"/>
        <w:spacing w:before="0" w:line="334" w:lineRule="auto"/>
        <w:ind w:left="620" w:right="0" w:firstLine="40"/>
        <w:jc w:val="both"/>
      </w:pPr>
      <w:r>
        <w:rPr>
          <w:rStyle w:val="CharStyle15"/>
        </w:rPr>
        <w:t>Comunicar ao Contratante, no prazo máximo de 24 (vinte e quatro) horas que antecede a data da entrega, os motivos que impossibilitem o cumprimento do prazo previsto, com a devida comprovação;</w:t>
      </w:r>
    </w:p>
    <w:p>
      <w:pPr>
        <w:pStyle w:val="Style14"/>
        <w:keepNext w:val="0"/>
        <w:keepLines w:val="0"/>
        <w:widowControl w:val="0"/>
        <w:numPr>
          <w:ilvl w:val="2"/>
          <w:numId w:val="5"/>
        </w:numPr>
        <w:shd w:val="clear" w:color="auto" w:fill="auto"/>
        <w:tabs>
          <w:tab w:pos="1226" w:val="left"/>
        </w:tabs>
        <w:bidi w:val="0"/>
        <w:spacing w:before="0" w:line="338" w:lineRule="auto"/>
        <w:ind w:left="620" w:right="0" w:firstLine="40"/>
        <w:jc w:val="both"/>
      </w:pPr>
      <w:r>
        <w:rPr>
          <w:rStyle w:val="CharStyle15"/>
        </w:rPr>
        <w:t xml:space="preserve">Atender </w:t>
      </w:r>
      <w:r>
        <w:rPr>
          <w:rStyle w:val="CharStyle15"/>
          <w:lang w:val="pt-BR" w:eastAsia="pt-BR" w:bidi="pt-BR"/>
        </w:rPr>
        <w:t xml:space="preserve">às </w:t>
      </w:r>
      <w:r>
        <w:rPr>
          <w:rStyle w:val="CharStyle15"/>
        </w:rPr>
        <w:t>determinações regulares emitidas pelo fiscal ou gestor do contrato ou autoridade superior (art. 137, II) e prestar todo esclarecimento ou informação por eles solicitados;</w:t>
      </w:r>
    </w:p>
    <w:p>
      <w:pPr>
        <w:pStyle w:val="Style14"/>
        <w:keepNext w:val="0"/>
        <w:keepLines w:val="0"/>
        <w:widowControl w:val="0"/>
        <w:numPr>
          <w:ilvl w:val="2"/>
          <w:numId w:val="5"/>
        </w:numPr>
        <w:shd w:val="clear" w:color="auto" w:fill="auto"/>
        <w:tabs>
          <w:tab w:pos="1216" w:val="left"/>
        </w:tabs>
        <w:bidi w:val="0"/>
        <w:spacing w:before="0"/>
        <w:ind w:left="620" w:right="0" w:firstLine="40"/>
        <w:jc w:val="both"/>
      </w:pPr>
      <w:r>
        <w:rPr>
          <w:rStyle w:val="CharStyle15"/>
        </w:rPr>
        <w:t xml:space="preserve">Reparar, corrigir, remover, reconstruir ou substituir, </w:t>
      </w:r>
      <w:r>
        <w:rPr>
          <w:rStyle w:val="CharStyle15"/>
          <w:lang w:val="pt-BR" w:eastAsia="pt-BR" w:bidi="pt-BR"/>
        </w:rPr>
        <w:t xml:space="preserve">às </w:t>
      </w:r>
      <w:r>
        <w:rPr>
          <w:rStyle w:val="CharStyle15"/>
        </w:rPr>
        <w:t>suas expensas, no total ou em parte, no prazo fixado pelo fiscal do contrato, os bens nos quais se verificarem vícios, defeitos ou incorreções resultantes da execução ou dos materiais empregados;</w:t>
      </w:r>
    </w:p>
    <w:p>
      <w:pPr>
        <w:pStyle w:val="Style14"/>
        <w:keepNext w:val="0"/>
        <w:keepLines w:val="0"/>
        <w:widowControl w:val="0"/>
        <w:numPr>
          <w:ilvl w:val="2"/>
          <w:numId w:val="5"/>
        </w:numPr>
        <w:shd w:val="clear" w:color="auto" w:fill="auto"/>
        <w:tabs>
          <w:tab w:pos="1235" w:val="left"/>
        </w:tabs>
        <w:bidi w:val="0"/>
        <w:spacing w:before="0" w:line="338" w:lineRule="auto"/>
        <w:ind w:left="620" w:right="0" w:firstLine="40"/>
        <w:jc w:val="both"/>
      </w:pPr>
      <w:r>
        <w:rPr>
          <w:rStyle w:val="CharStyle15"/>
          <w:lang w:val="pt-BR" w:eastAsia="pt-BR" w:bidi="pt-BR"/>
        </w:rPr>
        <w:t xml:space="preserve">Responsabilizar-se </w:t>
      </w:r>
      <w:r>
        <w:rPr>
          <w:rStyle w:val="CharStyle15"/>
        </w:rPr>
        <w:t>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Style14"/>
        <w:keepNext w:val="0"/>
        <w:keepLines w:val="0"/>
        <w:widowControl w:val="0"/>
        <w:numPr>
          <w:ilvl w:val="2"/>
          <w:numId w:val="5"/>
        </w:numPr>
        <w:shd w:val="clear" w:color="auto" w:fill="auto"/>
        <w:tabs>
          <w:tab w:pos="1216" w:val="left"/>
        </w:tabs>
        <w:bidi w:val="0"/>
        <w:spacing w:before="0"/>
        <w:ind w:left="620" w:right="0" w:firstLine="40"/>
        <w:jc w:val="both"/>
      </w:pPr>
      <w:r>
        <w:rPr>
          <w:rStyle w:val="CharStyle15"/>
        </w:rPr>
        <w:t>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w:t>
      </w:r>
    </w:p>
    <w:p>
      <w:pPr>
        <w:widowControl w:val="0"/>
        <w:jc w:val="center"/>
        <w:rPr>
          <w:sz w:val="2"/>
          <w:szCs w:val="2"/>
        </w:rPr>
      </w:pPr>
      <w:r>
        <w:drawing>
          <wp:inline>
            <wp:extent cx="768350" cy="780415"/>
            <wp:docPr id="39" name="Picutre 39"/>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1"/>
                    <a:stretch/>
                  </pic:blipFill>
                  <pic:spPr>
                    <a:xfrm>
                      <a:ext cx="768350" cy="780415"/>
                    </a:xfrm>
                    <a:prstGeom prst="rect"/>
                  </pic:spPr>
                </pic:pic>
              </a:graphicData>
            </a:graphic>
          </wp:inline>
        </w:drawing>
      </w:r>
    </w:p>
    <w:p>
      <w:pPr>
        <w:pStyle w:val="Style14"/>
        <w:keepNext w:val="0"/>
        <w:keepLines w:val="0"/>
        <w:widowControl w:val="0"/>
        <w:shd w:val="clear" w:color="auto" w:fill="auto"/>
        <w:bidi w:val="0"/>
        <w:spacing w:before="0" w:after="0" w:line="300"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ind w:left="0" w:right="0" w:firstLine="0"/>
        <w:jc w:val="center"/>
      </w:pPr>
      <w:bookmarkStart w:id="39" w:name="bookmark39"/>
      <w:r>
        <w:rPr>
          <w:rStyle w:val="CharStyle18"/>
          <w:b/>
          <w:bCs/>
        </w:rPr>
        <w:t>FUNDO MUNICIPAL DE PREVIDÊNCIA SOCIAL DE BORBA-AM</w:t>
      </w:r>
      <w:bookmarkEnd w:id="39"/>
    </w:p>
    <w:p>
      <w:pPr>
        <w:pStyle w:val="Style14"/>
        <w:keepNext w:val="0"/>
        <w:keepLines w:val="0"/>
        <w:widowControl w:val="0"/>
        <w:numPr>
          <w:ilvl w:val="0"/>
          <w:numId w:val="7"/>
        </w:numPr>
        <w:shd w:val="clear" w:color="auto" w:fill="auto"/>
        <w:tabs>
          <w:tab w:pos="937" w:val="left"/>
        </w:tabs>
        <w:bidi w:val="0"/>
        <w:spacing w:before="0" w:after="120" w:line="331" w:lineRule="auto"/>
        <w:ind w:left="600" w:right="0"/>
        <w:jc w:val="both"/>
      </w:pPr>
      <w:r>
        <w:rPr>
          <w:rStyle w:val="CharStyle15"/>
        </w:rPr>
        <w:t>Certidão de Regularidade do FGTS-CRF; e 5) Certidão Negativa de Débitos Trabalhistas -CNDT;</w:t>
      </w:r>
    </w:p>
    <w:p>
      <w:pPr>
        <w:pStyle w:val="Style14"/>
        <w:keepNext w:val="0"/>
        <w:keepLines w:val="0"/>
        <w:widowControl w:val="0"/>
        <w:numPr>
          <w:ilvl w:val="2"/>
          <w:numId w:val="5"/>
        </w:numPr>
        <w:shd w:val="clear" w:color="auto" w:fill="auto"/>
        <w:tabs>
          <w:tab w:pos="1206" w:val="left"/>
        </w:tabs>
        <w:bidi w:val="0"/>
        <w:spacing w:before="0" w:after="120" w:line="338" w:lineRule="auto"/>
        <w:ind w:left="600" w:right="0"/>
        <w:jc w:val="both"/>
      </w:pPr>
      <w:r>
        <w:rPr>
          <w:rStyle w:val="CharStyle15"/>
          <w:lang w:val="pt-BR" w:eastAsia="pt-BR" w:bidi="pt-BR"/>
        </w:rPr>
        <w:t xml:space="preserve">Responsabilizar-se </w:t>
      </w:r>
      <w:r>
        <w:rPr>
          <w:rStyle w:val="CharStyle15"/>
        </w:rPr>
        <w:t xml:space="preserve">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w:t>
      </w:r>
      <w:r>
        <w:rPr>
          <w:rStyle w:val="CharStyle15"/>
          <w:lang w:val="pt-BR" w:eastAsia="pt-BR" w:bidi="pt-BR"/>
        </w:rPr>
        <w:t xml:space="preserve">inadimplência </w:t>
      </w:r>
      <w:r>
        <w:rPr>
          <w:rStyle w:val="CharStyle15"/>
        </w:rPr>
        <w:t>não transfere a responsabilidade ao Contratante;</w:t>
      </w:r>
    </w:p>
    <w:p>
      <w:pPr>
        <w:pStyle w:val="Style14"/>
        <w:keepNext w:val="0"/>
        <w:keepLines w:val="0"/>
        <w:widowControl w:val="0"/>
        <w:numPr>
          <w:ilvl w:val="2"/>
          <w:numId w:val="5"/>
        </w:numPr>
        <w:shd w:val="clear" w:color="auto" w:fill="auto"/>
        <w:tabs>
          <w:tab w:pos="1206" w:val="left"/>
        </w:tabs>
        <w:bidi w:val="0"/>
        <w:spacing w:before="0" w:after="120" w:line="334" w:lineRule="auto"/>
        <w:ind w:left="600" w:right="0"/>
        <w:jc w:val="both"/>
      </w:pPr>
      <w:r>
        <w:rPr>
          <w:rStyle w:val="CharStyle15"/>
        </w:rPr>
        <w:t>Comunicar ao Fiscal do contrato, no prazo de 24 (vinte e quatro) horas, qualquer ocorrência anormal ou acidente que se verifique no local da execução do objeto contratual;</w:t>
      </w:r>
    </w:p>
    <w:p>
      <w:pPr>
        <w:pStyle w:val="Style14"/>
        <w:keepNext w:val="0"/>
        <w:keepLines w:val="0"/>
        <w:widowControl w:val="0"/>
        <w:numPr>
          <w:ilvl w:val="2"/>
          <w:numId w:val="5"/>
        </w:numPr>
        <w:shd w:val="clear" w:color="auto" w:fill="auto"/>
        <w:tabs>
          <w:tab w:pos="1287" w:val="left"/>
        </w:tabs>
        <w:bidi w:val="0"/>
        <w:spacing w:before="0" w:after="120" w:line="343" w:lineRule="auto"/>
        <w:ind w:left="600" w:right="0"/>
        <w:jc w:val="both"/>
      </w:pPr>
      <w:r>
        <w:rPr>
          <w:rStyle w:val="CharStyle15"/>
        </w:rPr>
        <w:t>Paralisar, por determinação do Contratante, qualquer atividade que não esteja sendo executada de acordo com a boa técnica ou que ponha em risco a segurança de pessoas ou bens de terceiros;</w:t>
      </w:r>
    </w:p>
    <w:p>
      <w:pPr>
        <w:pStyle w:val="Style14"/>
        <w:keepNext w:val="0"/>
        <w:keepLines w:val="0"/>
        <w:widowControl w:val="0"/>
        <w:numPr>
          <w:ilvl w:val="2"/>
          <w:numId w:val="5"/>
        </w:numPr>
        <w:shd w:val="clear" w:color="auto" w:fill="auto"/>
        <w:tabs>
          <w:tab w:pos="1244" w:val="left"/>
        </w:tabs>
        <w:bidi w:val="0"/>
        <w:spacing w:before="0" w:after="120" w:line="329" w:lineRule="auto"/>
        <w:ind w:left="600" w:right="0"/>
        <w:jc w:val="both"/>
      </w:pPr>
      <w:r>
        <w:rPr>
          <w:rStyle w:val="CharStyle15"/>
        </w:rPr>
        <w:t>Manter durante toda a vigência do contrato, em compatibilidade com as obrigações assumidas, todas as condições exigidas para habilitação na licitação, ou para qualificação, na CONTRATAÇÃO DIRETA.</w:t>
      </w:r>
    </w:p>
    <w:p>
      <w:pPr>
        <w:pStyle w:val="Style14"/>
        <w:keepNext w:val="0"/>
        <w:keepLines w:val="0"/>
        <w:widowControl w:val="0"/>
        <w:numPr>
          <w:ilvl w:val="2"/>
          <w:numId w:val="5"/>
        </w:numPr>
        <w:shd w:val="clear" w:color="auto" w:fill="auto"/>
        <w:tabs>
          <w:tab w:pos="1263" w:val="left"/>
        </w:tabs>
        <w:bidi w:val="0"/>
        <w:spacing w:before="0" w:after="120"/>
        <w:ind w:left="600" w:right="0"/>
        <w:jc w:val="both"/>
      </w:pPr>
      <w:r>
        <w:rPr>
          <w:rStyle w:val="CharStyle15"/>
        </w:rPr>
        <w:t>Cumprir, durante todo o período de execução do contrato, a reserva de cargos prevista em lei para pessoa com deficiência, para reabilitado da Previdência Social ou para aprendiz, bem como as reservas de cargos previstas na legislação (art. 116);</w:t>
      </w:r>
    </w:p>
    <w:p>
      <w:pPr>
        <w:pStyle w:val="Style14"/>
        <w:keepNext w:val="0"/>
        <w:keepLines w:val="0"/>
        <w:widowControl w:val="0"/>
        <w:numPr>
          <w:ilvl w:val="2"/>
          <w:numId w:val="5"/>
        </w:numPr>
        <w:shd w:val="clear" w:color="auto" w:fill="auto"/>
        <w:tabs>
          <w:tab w:pos="1273" w:val="left"/>
        </w:tabs>
        <w:bidi w:val="0"/>
        <w:spacing w:before="0" w:after="120" w:line="334" w:lineRule="auto"/>
        <w:ind w:left="600" w:right="0"/>
        <w:jc w:val="both"/>
      </w:pPr>
      <w:r>
        <w:rPr>
          <w:rStyle w:val="CharStyle15"/>
        </w:rPr>
        <w:t>Comprovar a reserva de cargos a que se refere a cláusula acima, no prazo fixado pelo fiscal do contrato, com a indicação dos empregados que preencheram as referidas vagas (art. 116, parágrafo único);</w:t>
      </w:r>
    </w:p>
    <w:p>
      <w:pPr>
        <w:pStyle w:val="Style14"/>
        <w:keepNext w:val="0"/>
        <w:keepLines w:val="0"/>
        <w:widowControl w:val="0"/>
        <w:numPr>
          <w:ilvl w:val="2"/>
          <w:numId w:val="5"/>
        </w:numPr>
        <w:shd w:val="clear" w:color="auto" w:fill="auto"/>
        <w:tabs>
          <w:tab w:pos="1282" w:val="left"/>
        </w:tabs>
        <w:bidi w:val="0"/>
        <w:spacing w:before="0" w:after="120" w:line="331" w:lineRule="auto"/>
        <w:ind w:left="600" w:right="0"/>
        <w:jc w:val="both"/>
      </w:pPr>
      <w:r>
        <w:rPr>
          <w:rStyle w:val="CharStyle15"/>
        </w:rPr>
        <w:t>Guardar sigilo sobre todas as informações obtidas em decorrência do cumprimento do contrato;</w:t>
      </w:r>
    </w:p>
    <w:p>
      <w:pPr>
        <w:pStyle w:val="Style14"/>
        <w:keepNext w:val="0"/>
        <w:keepLines w:val="0"/>
        <w:widowControl w:val="0"/>
        <w:numPr>
          <w:ilvl w:val="2"/>
          <w:numId w:val="5"/>
        </w:numPr>
        <w:shd w:val="clear" w:color="auto" w:fill="auto"/>
        <w:tabs>
          <w:tab w:pos="1282" w:val="left"/>
        </w:tabs>
        <w:bidi w:val="0"/>
        <w:spacing w:before="0" w:after="120" w:line="331" w:lineRule="auto"/>
        <w:ind w:left="600" w:right="0"/>
        <w:jc w:val="both"/>
      </w:pPr>
      <w:r>
        <w:rPr>
          <w:rStyle w:val="CharStyle15"/>
        </w:rPr>
        <w:t xml:space="preserve">Arcar com o </w:t>
      </w:r>
      <w:r>
        <w:rPr>
          <w:rStyle w:val="CharStyle15"/>
          <w:lang w:val="pt-BR" w:eastAsia="pt-BR" w:bidi="pt-BR"/>
        </w:rPr>
        <w:t xml:space="preserve">ônus </w:t>
      </w:r>
      <w:r>
        <w:rPr>
          <w:rStyle w:val="CharStyle15"/>
        </w:rPr>
        <w:t xml:space="preserve">decorrente de eventual equívoco no dimensionamento dos quantitativos de sua proposta, inclusive quanto aos custos variáveis decorrentes de fatores futuros e incertos, devendo </w:t>
      </w:r>
      <w:r>
        <w:rPr>
          <w:rStyle w:val="CharStyle15"/>
          <w:lang w:val="pt-BR" w:eastAsia="pt-BR" w:bidi="pt-BR"/>
        </w:rPr>
        <w:t xml:space="preserve">complementá-los, </w:t>
      </w:r>
      <w:r>
        <w:rPr>
          <w:rStyle w:val="CharStyle15"/>
        </w:rPr>
        <w:t>caso o previsto inicialmente em sua proposta não seja satisfatório para o atendimento do objeto da contratação, exceto quando ocorrer algum dos eventos arrolados no art. 124, II, d, da Lei n° 14.133/2021;</w:t>
      </w:r>
    </w:p>
    <w:p>
      <w:pPr>
        <w:pStyle w:val="Style14"/>
        <w:keepNext w:val="0"/>
        <w:keepLines w:val="0"/>
        <w:widowControl w:val="0"/>
        <w:numPr>
          <w:ilvl w:val="2"/>
          <w:numId w:val="5"/>
        </w:numPr>
        <w:shd w:val="clear" w:color="auto" w:fill="auto"/>
        <w:tabs>
          <w:tab w:pos="1287" w:val="left"/>
        </w:tabs>
        <w:bidi w:val="0"/>
        <w:spacing w:before="0" w:after="120" w:line="331" w:lineRule="auto"/>
        <w:ind w:left="600" w:right="0"/>
        <w:jc w:val="both"/>
      </w:pPr>
      <w:r>
        <w:rPr>
          <w:rStyle w:val="CharStyle15"/>
        </w:rPr>
        <w:t>Cumprir, além dos postulados legais vigentes de âmbito federal, estadual ou municipal, as normas de segurança do Contratante;</w:t>
      </w:r>
    </w:p>
    <w:p>
      <w:pPr>
        <w:pStyle w:val="Style14"/>
        <w:keepNext w:val="0"/>
        <w:keepLines w:val="0"/>
        <w:widowControl w:val="0"/>
        <w:shd w:val="clear" w:color="auto" w:fill="auto"/>
        <w:bidi w:val="0"/>
        <w:spacing w:before="0" w:after="0" w:line="230" w:lineRule="atLeast"/>
        <w:ind w:left="0" w:right="0" w:hanging="1300"/>
        <w:jc w:val="left"/>
      </w:pPr>
      <w:r>
        <w:rPr>
          <w:rStyle w:val="CharStyle15"/>
          <w:lang w:val="en-US" w:eastAsia="en-US" w:bidi="en-US"/>
        </w:rPr>
        <w:drawing>
          <wp:inline>
            <wp:extent cx="414655" cy="34163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23"/>
                    <a:stretch/>
                  </pic:blipFill>
                  <pic:spPr>
                    <a:xfrm>
                      <a:ext cx="414655" cy="341630"/>
                    </a:xfrm>
                    <a:prstGeom prst="rect"/>
                  </pic:spPr>
                </pic:pic>
              </a:graphicData>
            </a:graphic>
          </wp:inline>
        </w:drawing>
      </w:r>
    </w:p>
    <w:p>
      <w:pPr>
        <w:pStyle w:val="Style14"/>
        <w:keepNext w:val="0"/>
        <w:keepLines w:val="0"/>
        <w:widowControl w:val="0"/>
        <w:shd w:val="clear" w:color="auto" w:fill="auto"/>
        <w:bidi w:val="0"/>
        <w:spacing w:before="0" w:after="0" w:line="307"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ind w:left="0" w:right="0" w:firstLine="0"/>
        <w:jc w:val="center"/>
      </w:pPr>
      <w:bookmarkStart w:id="41" w:name="bookmark41"/>
      <w:r>
        <w:rPr>
          <w:rStyle w:val="CharStyle18"/>
          <w:b/>
          <w:bCs/>
        </w:rPr>
        <w:t>FUNDO MUNICIPAL DE PREVIDÊNCIA SOCIAL DE BORBA-AM</w:t>
      </w:r>
      <w:bookmarkEnd w:id="41"/>
    </w:p>
    <w:p>
      <w:pPr>
        <w:pStyle w:val="Style14"/>
        <w:keepNext w:val="0"/>
        <w:keepLines w:val="0"/>
        <w:widowControl w:val="0"/>
        <w:numPr>
          <w:ilvl w:val="2"/>
          <w:numId w:val="5"/>
        </w:numPr>
        <w:shd w:val="clear" w:color="auto" w:fill="auto"/>
        <w:tabs>
          <w:tab w:pos="1378" w:val="left"/>
        </w:tabs>
        <w:bidi w:val="0"/>
        <w:spacing w:before="0" w:line="338" w:lineRule="auto"/>
        <w:ind w:left="640" w:right="0" w:firstLine="40"/>
        <w:jc w:val="both"/>
      </w:pPr>
      <w:r>
        <w:rPr>
          <w:rStyle w:val="CharStyle15"/>
          <w:lang w:val="pt-BR" w:eastAsia="pt-BR" w:bidi="pt-BR"/>
        </w:rPr>
        <w:t xml:space="preserve">Alocar </w:t>
      </w:r>
      <w:r>
        <w:rPr>
          <w:rStyle w:val="CharStyle15"/>
        </w:rPr>
        <w:t xml:space="preserve">os empregados necessários, com habilitação e conhecimento adequados, ao perfeito cumprimento das cláusulas deste contrato, fornecendo os materiais, equipamentos, ferramentas e utensílios demandados, cuja quantidade, qualidade e tecnologia deverão atender </w:t>
      </w:r>
      <w:r>
        <w:rPr>
          <w:rStyle w:val="CharStyle15"/>
          <w:lang w:val="pt-BR" w:eastAsia="pt-BR" w:bidi="pt-BR"/>
        </w:rPr>
        <w:t xml:space="preserve">às </w:t>
      </w:r>
      <w:r>
        <w:rPr>
          <w:rStyle w:val="CharStyle15"/>
        </w:rPr>
        <w:t>recomendações de boa técnica e a legislação de regência;</w:t>
      </w:r>
    </w:p>
    <w:p>
      <w:pPr>
        <w:pStyle w:val="Style14"/>
        <w:keepNext w:val="0"/>
        <w:keepLines w:val="0"/>
        <w:widowControl w:val="0"/>
        <w:numPr>
          <w:ilvl w:val="2"/>
          <w:numId w:val="5"/>
        </w:numPr>
        <w:shd w:val="clear" w:color="auto" w:fill="auto"/>
        <w:tabs>
          <w:tab w:pos="1387" w:val="left"/>
        </w:tabs>
        <w:bidi w:val="0"/>
        <w:spacing w:before="0" w:line="341" w:lineRule="auto"/>
        <w:ind w:left="640" w:right="0" w:firstLine="40"/>
        <w:jc w:val="both"/>
      </w:pPr>
      <w:r>
        <w:rPr>
          <w:rStyle w:val="CharStyle15"/>
        </w:rPr>
        <w:t>Orientar e treinar seus empregados sobre os deveres previstos na Lei n° 13.709/2018, adotando medidas eficazes para proteção de dados pessoais a que tenha acesso por força da execução deste contrato;</w:t>
      </w:r>
    </w:p>
    <w:p>
      <w:pPr>
        <w:pStyle w:val="Style14"/>
        <w:keepNext w:val="0"/>
        <w:keepLines w:val="0"/>
        <w:widowControl w:val="0"/>
        <w:numPr>
          <w:ilvl w:val="2"/>
          <w:numId w:val="5"/>
        </w:numPr>
        <w:shd w:val="clear" w:color="auto" w:fill="auto"/>
        <w:tabs>
          <w:tab w:pos="1402" w:val="left"/>
        </w:tabs>
        <w:bidi w:val="0"/>
        <w:spacing w:before="0"/>
        <w:ind w:left="640" w:right="0" w:firstLine="40"/>
        <w:jc w:val="both"/>
      </w:pPr>
      <w:r>
        <w:rPr>
          <w:rStyle w:val="CharStyle15"/>
        </w:rPr>
        <w:t xml:space="preserve">Conduzir os trabalhos com estrita observância </w:t>
      </w:r>
      <w:r>
        <w:rPr>
          <w:rStyle w:val="CharStyle15"/>
          <w:lang w:val="pt-BR" w:eastAsia="pt-BR" w:bidi="pt-BR"/>
        </w:rPr>
        <w:t xml:space="preserve">às </w:t>
      </w:r>
      <w:r>
        <w:rPr>
          <w:rStyle w:val="CharStyle15"/>
        </w:rPr>
        <w:t>normas da legislação pertinente, cumprindo as determinações dos Poderes Públicos, mantendo sempre limpo o local dos serviços e nas melhores condições de segurança, higiene e disciplina;</w:t>
      </w:r>
    </w:p>
    <w:p>
      <w:pPr>
        <w:pStyle w:val="Style14"/>
        <w:keepNext w:val="0"/>
        <w:keepLines w:val="0"/>
        <w:widowControl w:val="0"/>
        <w:numPr>
          <w:ilvl w:val="2"/>
          <w:numId w:val="5"/>
        </w:numPr>
        <w:shd w:val="clear" w:color="auto" w:fill="auto"/>
        <w:tabs>
          <w:tab w:pos="1411" w:val="left"/>
        </w:tabs>
        <w:bidi w:val="0"/>
        <w:spacing w:before="0" w:line="341" w:lineRule="auto"/>
        <w:ind w:left="640" w:right="0" w:firstLine="40"/>
        <w:jc w:val="both"/>
      </w:pPr>
      <w:r>
        <w:rPr>
          <w:rStyle w:val="CharStyle15"/>
        </w:rPr>
        <w:t xml:space="preserve">Submeter </w:t>
      </w:r>
      <w:r>
        <w:rPr>
          <w:rStyle w:val="CharStyle15"/>
          <w:lang w:val="pt-BR" w:eastAsia="pt-BR" w:bidi="pt-BR"/>
        </w:rPr>
        <w:t xml:space="preserve">previamente, </w:t>
      </w:r>
      <w:r>
        <w:rPr>
          <w:rStyle w:val="CharStyle15"/>
        </w:rPr>
        <w:t xml:space="preserve">por escrito, ao Contratante, para análise e aprovação, quaisquer mudanças nos métodos executivos que fujam </w:t>
      </w:r>
      <w:r>
        <w:rPr>
          <w:rStyle w:val="CharStyle15"/>
          <w:lang w:val="pt-BR" w:eastAsia="pt-BR" w:bidi="pt-BR"/>
        </w:rPr>
        <w:t xml:space="preserve">às </w:t>
      </w:r>
      <w:r>
        <w:rPr>
          <w:rStyle w:val="CharStyle15"/>
        </w:rPr>
        <w:t xml:space="preserve">especificações do memorial descritivo ou instrumento </w:t>
      </w:r>
      <w:r>
        <w:rPr>
          <w:rStyle w:val="CharStyle15"/>
          <w:lang w:val="pt-BR" w:eastAsia="pt-BR" w:bidi="pt-BR"/>
        </w:rPr>
        <w:t>congênere;</w:t>
      </w:r>
    </w:p>
    <w:p>
      <w:pPr>
        <w:pStyle w:val="Style14"/>
        <w:keepNext w:val="0"/>
        <w:keepLines w:val="0"/>
        <w:widowControl w:val="0"/>
        <w:numPr>
          <w:ilvl w:val="2"/>
          <w:numId w:val="5"/>
        </w:numPr>
        <w:shd w:val="clear" w:color="auto" w:fill="auto"/>
        <w:tabs>
          <w:tab w:pos="1373" w:val="left"/>
        </w:tabs>
        <w:bidi w:val="0"/>
        <w:spacing w:before="0" w:after="220"/>
        <w:ind w:left="640" w:right="0" w:firstLine="40"/>
        <w:jc w:val="both"/>
      </w:pPr>
      <w:r>
        <w:rPr>
          <w:rStyle w:val="CharStyle15"/>
        </w:rPr>
        <w:t xml:space="preserve">Não permitir a utilização de qualquer trabalho do menor de </w:t>
      </w:r>
      <w:r>
        <w:rPr>
          <w:rStyle w:val="CharStyle15"/>
          <w:lang w:val="pt-BR" w:eastAsia="pt-BR" w:bidi="pt-BR"/>
        </w:rPr>
        <w:t xml:space="preserve">dezesseis </w:t>
      </w:r>
      <w:r>
        <w:rPr>
          <w:rStyle w:val="CharStyle15"/>
        </w:rPr>
        <w:t xml:space="preserve">anos, exceto na condição de aprendiz para os maiores de </w:t>
      </w:r>
      <w:r>
        <w:rPr>
          <w:rStyle w:val="CharStyle15"/>
          <w:lang w:val="pt-BR" w:eastAsia="pt-BR" w:bidi="pt-BR"/>
        </w:rPr>
        <w:t xml:space="preserve">quatorze </w:t>
      </w:r>
      <w:r>
        <w:rPr>
          <w:rStyle w:val="CharStyle15"/>
        </w:rPr>
        <w:t>anos, nem permitir a utilização do trabalho do menor de dezoito anos em trabalho noturno, perigoso ou insalubre.</w:t>
      </w:r>
    </w:p>
    <w:p>
      <w:pPr>
        <w:pStyle w:val="Style2"/>
        <w:keepNext/>
        <w:keepLines/>
        <w:widowControl w:val="0"/>
        <w:numPr>
          <w:ilvl w:val="0"/>
          <w:numId w:val="9"/>
        </w:numPr>
        <w:shd w:val="clear" w:color="auto" w:fill="auto"/>
        <w:tabs>
          <w:tab w:pos="358" w:val="left"/>
        </w:tabs>
        <w:bidi w:val="0"/>
        <w:spacing w:before="0" w:after="140" w:line="240" w:lineRule="auto"/>
        <w:ind w:left="0" w:right="0" w:firstLine="0"/>
        <w:jc w:val="both"/>
      </w:pPr>
      <w:bookmarkStart w:id="43" w:name="bookmark43"/>
      <w:r>
        <w:rPr>
          <w:rStyle w:val="CharStyle3"/>
          <w:b/>
          <w:bCs/>
          <w:lang w:val="pt-PT" w:eastAsia="pt-PT" w:bidi="pt-PT"/>
        </w:rPr>
        <w:t>CLÁUSULA NONA - GARANTIA DE EXECUÇÃO (art. 92, XII e XIII)</w:t>
      </w:r>
      <w:bookmarkEnd w:id="43"/>
    </w:p>
    <w:p>
      <w:pPr>
        <w:pStyle w:val="Style14"/>
        <w:keepNext w:val="0"/>
        <w:keepLines w:val="0"/>
        <w:widowControl w:val="0"/>
        <w:numPr>
          <w:ilvl w:val="1"/>
          <w:numId w:val="9"/>
        </w:numPr>
        <w:shd w:val="clear" w:color="auto" w:fill="auto"/>
        <w:tabs>
          <w:tab w:pos="498" w:val="left"/>
        </w:tabs>
        <w:bidi w:val="0"/>
        <w:spacing w:before="0" w:after="280" w:line="240" w:lineRule="auto"/>
        <w:ind w:left="0" w:right="0" w:firstLine="0"/>
        <w:jc w:val="both"/>
      </w:pPr>
      <w:r>
        <w:rPr>
          <w:rStyle w:val="CharStyle15"/>
        </w:rPr>
        <w:t>Não haverá exigência de garantia contratual da execução.</w:t>
      </w:r>
    </w:p>
    <w:p>
      <w:pPr>
        <w:pStyle w:val="Style2"/>
        <w:keepNext/>
        <w:keepLines/>
        <w:widowControl w:val="0"/>
        <w:numPr>
          <w:ilvl w:val="0"/>
          <w:numId w:val="9"/>
        </w:numPr>
        <w:shd w:val="clear" w:color="auto" w:fill="auto"/>
        <w:tabs>
          <w:tab w:pos="358" w:val="left"/>
        </w:tabs>
        <w:bidi w:val="0"/>
        <w:spacing w:before="0" w:after="100" w:line="336" w:lineRule="auto"/>
        <w:ind w:left="0" w:right="0" w:firstLine="0"/>
        <w:jc w:val="both"/>
      </w:pPr>
      <w:bookmarkStart w:id="45" w:name="bookmark45"/>
      <w:r>
        <w:rPr>
          <w:rStyle w:val="CharStyle3"/>
          <w:b/>
          <w:bCs/>
          <w:lang w:val="pt-PT" w:eastAsia="pt-PT" w:bidi="pt-PT"/>
        </w:rPr>
        <w:t>CLÁUSULA DÉCIMA - INFRAÇÕES E SANÇÕES ADMINISTRATIVAS (art. 92, XIV)</w:t>
      </w:r>
      <w:bookmarkEnd w:id="45"/>
    </w:p>
    <w:p>
      <w:pPr>
        <w:pStyle w:val="Style14"/>
        <w:keepNext w:val="0"/>
        <w:keepLines w:val="0"/>
        <w:widowControl w:val="0"/>
        <w:numPr>
          <w:ilvl w:val="1"/>
          <w:numId w:val="9"/>
        </w:numPr>
        <w:shd w:val="clear" w:color="auto" w:fill="auto"/>
        <w:tabs>
          <w:tab w:pos="498" w:val="left"/>
        </w:tabs>
        <w:bidi w:val="0"/>
        <w:spacing w:before="0"/>
        <w:ind w:left="0" w:right="0" w:firstLine="0"/>
        <w:jc w:val="both"/>
      </w:pPr>
      <w:r>
        <w:rPr>
          <w:rStyle w:val="CharStyle15"/>
        </w:rPr>
        <w:t>Comete infração administrativa, nos termos da Lei n° 14.133/2021, o Contratado que:</w:t>
      </w:r>
    </w:p>
    <w:p>
      <w:pPr>
        <w:pStyle w:val="Style14"/>
        <w:keepNext w:val="0"/>
        <w:keepLines w:val="0"/>
        <w:widowControl w:val="0"/>
        <w:numPr>
          <w:ilvl w:val="0"/>
          <w:numId w:val="11"/>
        </w:numPr>
        <w:shd w:val="clear" w:color="auto" w:fill="auto"/>
        <w:tabs>
          <w:tab w:pos="1018" w:val="left"/>
        </w:tabs>
        <w:bidi w:val="0"/>
        <w:spacing w:before="0"/>
        <w:ind w:left="0" w:right="0" w:firstLine="640"/>
        <w:jc w:val="left"/>
      </w:pPr>
      <w:r>
        <w:rPr>
          <w:rStyle w:val="CharStyle15"/>
        </w:rPr>
        <w:t>der causa à inexecução parcial do contrato;</w:t>
      </w:r>
    </w:p>
    <w:p>
      <w:pPr>
        <w:pStyle w:val="Style14"/>
        <w:keepNext w:val="0"/>
        <w:keepLines w:val="0"/>
        <w:widowControl w:val="0"/>
        <w:numPr>
          <w:ilvl w:val="0"/>
          <w:numId w:val="11"/>
        </w:numPr>
        <w:shd w:val="clear" w:color="auto" w:fill="auto"/>
        <w:tabs>
          <w:tab w:pos="1032" w:val="left"/>
        </w:tabs>
        <w:bidi w:val="0"/>
        <w:spacing w:before="0"/>
        <w:ind w:left="640" w:right="0" w:firstLine="40"/>
        <w:jc w:val="both"/>
      </w:pPr>
      <w:r>
        <w:rPr>
          <w:rStyle w:val="CharStyle15"/>
        </w:rPr>
        <w:t>der causa à inexecução parcial do contrato que cause grave dano à Administração ou ao funcionamento dos serviços públicos ou ao interesse coletivo;</w:t>
      </w:r>
    </w:p>
    <w:p>
      <w:pPr>
        <w:pStyle w:val="Style14"/>
        <w:keepNext w:val="0"/>
        <w:keepLines w:val="0"/>
        <w:widowControl w:val="0"/>
        <w:numPr>
          <w:ilvl w:val="0"/>
          <w:numId w:val="11"/>
        </w:numPr>
        <w:shd w:val="clear" w:color="auto" w:fill="auto"/>
        <w:tabs>
          <w:tab w:pos="1003" w:val="left"/>
        </w:tabs>
        <w:bidi w:val="0"/>
        <w:spacing w:before="0"/>
        <w:ind w:left="0" w:right="0" w:firstLine="640"/>
        <w:jc w:val="left"/>
      </w:pPr>
      <w:r>
        <w:rPr>
          <w:rStyle w:val="CharStyle15"/>
        </w:rPr>
        <w:t>der causa à inexecução total do contrato;</w:t>
      </w:r>
    </w:p>
    <w:p>
      <w:pPr>
        <w:pStyle w:val="Style14"/>
        <w:keepNext w:val="0"/>
        <w:keepLines w:val="0"/>
        <w:widowControl w:val="0"/>
        <w:numPr>
          <w:ilvl w:val="0"/>
          <w:numId w:val="11"/>
        </w:numPr>
        <w:shd w:val="clear" w:color="auto" w:fill="auto"/>
        <w:tabs>
          <w:tab w:pos="1027" w:val="left"/>
        </w:tabs>
        <w:bidi w:val="0"/>
        <w:spacing w:before="0"/>
        <w:ind w:left="0" w:right="0" w:firstLine="640"/>
        <w:jc w:val="left"/>
      </w:pPr>
      <w:r>
        <w:rPr>
          <w:rStyle w:val="CharStyle15"/>
        </w:rPr>
        <w:t>deixar de entregar a documentação exigida para o certame;</w:t>
      </w:r>
    </w:p>
    <w:p>
      <w:pPr>
        <w:pStyle w:val="Style14"/>
        <w:keepNext w:val="0"/>
        <w:keepLines w:val="0"/>
        <w:widowControl w:val="0"/>
        <w:numPr>
          <w:ilvl w:val="0"/>
          <w:numId w:val="11"/>
        </w:numPr>
        <w:shd w:val="clear" w:color="auto" w:fill="auto"/>
        <w:tabs>
          <w:tab w:pos="1032" w:val="left"/>
        </w:tabs>
        <w:bidi w:val="0"/>
        <w:spacing w:before="0" w:after="140" w:line="322" w:lineRule="auto"/>
        <w:ind w:left="640" w:right="0" w:firstLine="40"/>
        <w:jc w:val="both"/>
      </w:pPr>
      <w:r>
        <w:rPr>
          <w:rStyle w:val="CharStyle15"/>
        </w:rPr>
        <w:t xml:space="preserve">não mantiver a proposta, salvo em decorrência de fato superveniente </w:t>
      </w:r>
      <w:r>
        <w:rPr>
          <w:rStyle w:val="CharStyle15"/>
          <w:lang w:val="pt-BR" w:eastAsia="pt-BR" w:bidi="pt-BR"/>
        </w:rPr>
        <w:t xml:space="preserve">devidamente </w:t>
      </w:r>
      <w:r>
        <w:rPr>
          <w:rStyle w:val="CharStyle15"/>
        </w:rPr>
        <w:t>justificado;</w:t>
      </w:r>
    </w:p>
    <w:p>
      <w:pPr>
        <w:pStyle w:val="Style14"/>
        <w:keepNext w:val="0"/>
        <w:keepLines w:val="0"/>
        <w:widowControl w:val="0"/>
        <w:numPr>
          <w:ilvl w:val="0"/>
          <w:numId w:val="11"/>
        </w:numPr>
        <w:shd w:val="clear" w:color="auto" w:fill="auto"/>
        <w:tabs>
          <w:tab w:pos="989" w:val="left"/>
        </w:tabs>
        <w:bidi w:val="0"/>
        <w:spacing w:before="0"/>
        <w:ind w:left="640" w:right="0" w:firstLine="40"/>
        <w:jc w:val="both"/>
      </w:pPr>
      <w:r>
        <w:rPr>
          <w:rStyle w:val="CharStyle15"/>
        </w:rPr>
        <w:t>não celebrar o contrato ou não entregar a documentação exigida para a contratação, quando convocado dentro do prazo de validade de sua proposta;</w:t>
      </w:r>
    </w:p>
    <w:p>
      <w:pPr>
        <w:widowControl w:val="0"/>
        <w:jc w:val="center"/>
        <w:rPr>
          <w:sz w:val="2"/>
          <w:szCs w:val="2"/>
        </w:rPr>
      </w:pPr>
      <w:r>
        <w:drawing>
          <wp:inline>
            <wp:extent cx="768350" cy="780415"/>
            <wp:docPr id="41" name="Picutre 41"/>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5"/>
                    <a:stretch/>
                  </pic:blipFill>
                  <pic:spPr>
                    <a:xfrm>
                      <a:ext cx="768350" cy="780415"/>
                    </a:xfrm>
                    <a:prstGeom prst="rect"/>
                  </pic:spPr>
                </pic:pic>
              </a:graphicData>
            </a:graphic>
          </wp:inline>
        </w:drawing>
      </w:r>
    </w:p>
    <w:p>
      <w:pPr>
        <w:pStyle w:val="Style14"/>
        <w:keepNext w:val="0"/>
        <w:keepLines w:val="0"/>
        <w:widowControl w:val="0"/>
        <w:shd w:val="clear" w:color="auto" w:fill="auto"/>
        <w:bidi w:val="0"/>
        <w:spacing w:before="0" w:after="0" w:line="305" w:lineRule="auto"/>
        <w:ind w:left="3900" w:right="0" w:firstLine="0"/>
        <w:jc w:val="left"/>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ind w:left="0" w:right="0" w:firstLine="0"/>
        <w:jc w:val="center"/>
      </w:pPr>
      <w:bookmarkStart w:id="47" w:name="bookmark47"/>
      <w:r>
        <w:rPr>
          <w:rStyle w:val="CharStyle18"/>
          <w:b/>
          <w:bCs/>
        </w:rPr>
        <w:t>FUNDO MUNICIPAL DE PREVIDÊNCIA SOCIAL DE BORBA-AM</w:t>
      </w:r>
      <w:bookmarkEnd w:id="47"/>
    </w:p>
    <w:p>
      <w:pPr>
        <w:pStyle w:val="Style14"/>
        <w:keepNext w:val="0"/>
        <w:keepLines w:val="0"/>
        <w:widowControl w:val="0"/>
        <w:numPr>
          <w:ilvl w:val="0"/>
          <w:numId w:val="11"/>
        </w:numPr>
        <w:shd w:val="clear" w:color="auto" w:fill="auto"/>
        <w:tabs>
          <w:tab w:pos="1043" w:val="left"/>
        </w:tabs>
        <w:bidi w:val="0"/>
        <w:spacing w:before="0" w:line="350" w:lineRule="auto"/>
        <w:ind w:left="660" w:right="0"/>
        <w:jc w:val="both"/>
      </w:pPr>
      <w:r>
        <w:rPr>
          <w:rStyle w:val="CharStyle15"/>
        </w:rPr>
        <w:t>ensejar o retardamento da execução ou da entrega do objeto da contratação sem motivo justificado;</w:t>
      </w:r>
    </w:p>
    <w:p>
      <w:pPr>
        <w:pStyle w:val="Style14"/>
        <w:keepNext w:val="0"/>
        <w:keepLines w:val="0"/>
        <w:widowControl w:val="0"/>
        <w:numPr>
          <w:ilvl w:val="0"/>
          <w:numId w:val="11"/>
        </w:numPr>
        <w:shd w:val="clear" w:color="auto" w:fill="auto"/>
        <w:tabs>
          <w:tab w:pos="1038" w:val="left"/>
        </w:tabs>
        <w:bidi w:val="0"/>
        <w:spacing w:before="0"/>
        <w:ind w:left="660" w:right="0"/>
        <w:jc w:val="both"/>
      </w:pPr>
      <w:r>
        <w:rPr>
          <w:rStyle w:val="CharStyle15"/>
        </w:rPr>
        <w:t xml:space="preserve">apresentar declaração ou documentação falsa exigida para o certame ou prestar declaração falsa durante a dispensa </w:t>
      </w:r>
      <w:r>
        <w:rPr>
          <w:rStyle w:val="CharStyle15"/>
          <w:lang w:val="pt-BR" w:eastAsia="pt-BR" w:bidi="pt-BR"/>
        </w:rPr>
        <w:t xml:space="preserve">eletrônica </w:t>
      </w:r>
      <w:r>
        <w:rPr>
          <w:rStyle w:val="CharStyle15"/>
        </w:rPr>
        <w:t>ou execução do contrato;</w:t>
      </w:r>
    </w:p>
    <w:p>
      <w:pPr>
        <w:pStyle w:val="Style14"/>
        <w:keepNext w:val="0"/>
        <w:keepLines w:val="0"/>
        <w:widowControl w:val="0"/>
        <w:numPr>
          <w:ilvl w:val="0"/>
          <w:numId w:val="11"/>
        </w:numPr>
        <w:shd w:val="clear" w:color="auto" w:fill="auto"/>
        <w:tabs>
          <w:tab w:pos="961" w:val="left"/>
        </w:tabs>
        <w:bidi w:val="0"/>
        <w:spacing w:before="0"/>
        <w:ind w:left="0" w:right="0" w:firstLine="660"/>
        <w:jc w:val="both"/>
      </w:pPr>
      <w:r>
        <w:rPr>
          <w:rStyle w:val="CharStyle15"/>
        </w:rPr>
        <w:t>fraudar a contratação ou praticar ato fraudulento na execução do contrato;</w:t>
      </w:r>
    </w:p>
    <w:p>
      <w:pPr>
        <w:pStyle w:val="Style14"/>
        <w:keepNext w:val="0"/>
        <w:keepLines w:val="0"/>
        <w:widowControl w:val="0"/>
        <w:numPr>
          <w:ilvl w:val="0"/>
          <w:numId w:val="11"/>
        </w:numPr>
        <w:shd w:val="clear" w:color="auto" w:fill="auto"/>
        <w:tabs>
          <w:tab w:pos="971" w:val="left"/>
        </w:tabs>
        <w:bidi w:val="0"/>
        <w:spacing w:before="0"/>
        <w:ind w:left="0" w:right="0" w:firstLine="660"/>
        <w:jc w:val="both"/>
      </w:pPr>
      <w:r>
        <w:rPr>
          <w:rStyle w:val="CharStyle15"/>
          <w:lang w:val="pt-BR" w:eastAsia="pt-BR" w:bidi="pt-BR"/>
        </w:rPr>
        <w:t xml:space="preserve">comportar-se </w:t>
      </w:r>
      <w:r>
        <w:rPr>
          <w:rStyle w:val="CharStyle15"/>
        </w:rPr>
        <w:t xml:space="preserve">de modo </w:t>
      </w:r>
      <w:r>
        <w:rPr>
          <w:rStyle w:val="CharStyle15"/>
          <w:lang w:val="pt-BR" w:eastAsia="pt-BR" w:bidi="pt-BR"/>
        </w:rPr>
        <w:t xml:space="preserve">inidôneo </w:t>
      </w:r>
      <w:r>
        <w:rPr>
          <w:rStyle w:val="CharStyle15"/>
        </w:rPr>
        <w:t>ou cometer fraude de qualquer natureza;</w:t>
      </w:r>
    </w:p>
    <w:p>
      <w:pPr>
        <w:pStyle w:val="Style14"/>
        <w:keepNext w:val="0"/>
        <w:keepLines w:val="0"/>
        <w:widowControl w:val="0"/>
        <w:numPr>
          <w:ilvl w:val="0"/>
          <w:numId w:val="11"/>
        </w:numPr>
        <w:shd w:val="clear" w:color="auto" w:fill="auto"/>
        <w:tabs>
          <w:tab w:pos="1024" w:val="left"/>
        </w:tabs>
        <w:bidi w:val="0"/>
        <w:spacing w:before="0"/>
        <w:ind w:left="0" w:right="0" w:firstLine="660"/>
        <w:jc w:val="both"/>
      </w:pPr>
      <w:r>
        <w:rPr>
          <w:rStyle w:val="CharStyle15"/>
        </w:rPr>
        <w:t>praticar atos ilícitos com vistas a frustrar os objetivos do certame;</w:t>
      </w:r>
    </w:p>
    <w:p>
      <w:pPr>
        <w:pStyle w:val="Style14"/>
        <w:keepNext w:val="0"/>
        <w:keepLines w:val="0"/>
        <w:widowControl w:val="0"/>
        <w:numPr>
          <w:ilvl w:val="0"/>
          <w:numId w:val="11"/>
        </w:numPr>
        <w:shd w:val="clear" w:color="auto" w:fill="auto"/>
        <w:tabs>
          <w:tab w:pos="961" w:val="left"/>
        </w:tabs>
        <w:bidi w:val="0"/>
        <w:spacing w:before="0"/>
        <w:ind w:left="0" w:right="0" w:firstLine="660"/>
        <w:jc w:val="both"/>
      </w:pPr>
      <w:r>
        <w:rPr>
          <w:rStyle w:val="CharStyle15"/>
        </w:rPr>
        <w:t>praticar ato lesivo previsto no art. 5</w:t>
      </w:r>
      <w:r>
        <w:rPr>
          <w:rStyle w:val="CharStyle15"/>
          <w:vertAlign w:val="superscript"/>
        </w:rPr>
        <w:t>0</w:t>
      </w:r>
      <w:r>
        <w:rPr>
          <w:rStyle w:val="CharStyle15"/>
        </w:rPr>
        <w:t xml:space="preserve"> da Lei n° 12.846/2013.</w:t>
      </w:r>
    </w:p>
    <w:p>
      <w:pPr>
        <w:pStyle w:val="Style14"/>
        <w:keepNext w:val="0"/>
        <w:keepLines w:val="0"/>
        <w:widowControl w:val="0"/>
        <w:numPr>
          <w:ilvl w:val="1"/>
          <w:numId w:val="9"/>
        </w:numPr>
        <w:shd w:val="clear" w:color="auto" w:fill="auto"/>
        <w:tabs>
          <w:tab w:pos="517" w:val="left"/>
        </w:tabs>
        <w:bidi w:val="0"/>
        <w:spacing w:before="0"/>
        <w:ind w:left="0" w:right="0" w:firstLine="0"/>
        <w:jc w:val="both"/>
      </w:pPr>
      <w:r>
        <w:rPr>
          <w:rStyle w:val="CharStyle15"/>
        </w:rPr>
        <w:t>Serão aplicadas ao responsável pelas infrações administrativas acima descritas as seguintes sanções:</w:t>
      </w:r>
    </w:p>
    <w:p>
      <w:pPr>
        <w:pStyle w:val="Style14"/>
        <w:keepNext w:val="0"/>
        <w:keepLines w:val="0"/>
        <w:widowControl w:val="0"/>
        <w:numPr>
          <w:ilvl w:val="0"/>
          <w:numId w:val="13"/>
        </w:numPr>
        <w:shd w:val="clear" w:color="auto" w:fill="auto"/>
        <w:tabs>
          <w:tab w:pos="1029" w:val="left"/>
        </w:tabs>
        <w:bidi w:val="0"/>
        <w:spacing w:before="0"/>
        <w:ind w:left="660" w:right="0"/>
        <w:jc w:val="both"/>
      </w:pPr>
      <w:r>
        <w:rPr>
          <w:rStyle w:val="CharStyle15"/>
          <w:b/>
          <w:bCs/>
        </w:rPr>
        <w:t xml:space="preserve">Advertência, </w:t>
      </w:r>
      <w:r>
        <w:rPr>
          <w:rStyle w:val="CharStyle15"/>
        </w:rPr>
        <w:t xml:space="preserve">quando o Contratado der causa à inexecução parcial do contrato, sempre que não se justificar a imposição de penalidade </w:t>
      </w:r>
      <w:r>
        <w:rPr>
          <w:rStyle w:val="CharStyle15"/>
          <w:lang w:val="pt-BR" w:eastAsia="pt-BR" w:bidi="pt-BR"/>
        </w:rPr>
        <w:t xml:space="preserve">mais </w:t>
      </w:r>
      <w:r>
        <w:rPr>
          <w:rStyle w:val="CharStyle15"/>
        </w:rPr>
        <w:t>grave (art. 156, §2°, da Lei);</w:t>
      </w:r>
    </w:p>
    <w:p>
      <w:pPr>
        <w:pStyle w:val="Style14"/>
        <w:keepNext w:val="0"/>
        <w:keepLines w:val="0"/>
        <w:widowControl w:val="0"/>
        <w:numPr>
          <w:ilvl w:val="0"/>
          <w:numId w:val="13"/>
        </w:numPr>
        <w:shd w:val="clear" w:color="auto" w:fill="auto"/>
        <w:tabs>
          <w:tab w:pos="1043" w:val="left"/>
        </w:tabs>
        <w:bidi w:val="0"/>
        <w:spacing w:before="0" w:line="331" w:lineRule="auto"/>
        <w:ind w:left="660" w:right="0"/>
        <w:jc w:val="both"/>
      </w:pPr>
      <w:r>
        <w:rPr>
          <w:rStyle w:val="CharStyle15"/>
          <w:b/>
          <w:bCs/>
        </w:rPr>
        <w:t xml:space="preserve">Impedimento de licitar e contratar, </w:t>
      </w:r>
      <w:r>
        <w:rPr>
          <w:rStyle w:val="CharStyle15"/>
        </w:rPr>
        <w:t xml:space="preserve">quando praticadas as condutas descritas nas alíneas b, c, d, e, f e g do subitem acima deste Contrato, sempre que não se justificar a imposição de penalidade </w:t>
      </w:r>
      <w:r>
        <w:rPr>
          <w:rStyle w:val="CharStyle15"/>
          <w:lang w:val="pt-BR" w:eastAsia="pt-BR" w:bidi="pt-BR"/>
        </w:rPr>
        <w:t xml:space="preserve">mais </w:t>
      </w:r>
      <w:r>
        <w:rPr>
          <w:rStyle w:val="CharStyle15"/>
        </w:rPr>
        <w:t>grave (art. 156, §4°, da Lei);</w:t>
      </w:r>
    </w:p>
    <w:p>
      <w:pPr>
        <w:pStyle w:val="Style14"/>
        <w:keepNext w:val="0"/>
        <w:keepLines w:val="0"/>
        <w:widowControl w:val="0"/>
        <w:numPr>
          <w:ilvl w:val="0"/>
          <w:numId w:val="13"/>
        </w:numPr>
        <w:shd w:val="clear" w:color="auto" w:fill="auto"/>
        <w:tabs>
          <w:tab w:pos="1019" w:val="left"/>
        </w:tabs>
        <w:bidi w:val="0"/>
        <w:spacing w:before="0" w:line="338" w:lineRule="auto"/>
        <w:ind w:left="660" w:right="0"/>
        <w:jc w:val="both"/>
      </w:pPr>
      <w:r>
        <w:rPr>
          <w:rStyle w:val="CharStyle15"/>
          <w:b/>
          <w:bCs/>
        </w:rPr>
        <w:t xml:space="preserve">Declaração de inidoneidade para licitar e contratar, </w:t>
      </w:r>
      <w:r>
        <w:rPr>
          <w:rStyle w:val="CharStyle15"/>
        </w:rPr>
        <w:t xml:space="preserve">quando praticadas as condutas descritas nas alíneas h, i, j, k e I do subitem acima deste Contrato, bem como nas alíneas b, c, d, e, f e g, que justifiquem a imposição de penalidade </w:t>
      </w:r>
      <w:r>
        <w:rPr>
          <w:rStyle w:val="CharStyle15"/>
          <w:lang w:val="pt-BR" w:eastAsia="pt-BR" w:bidi="pt-BR"/>
        </w:rPr>
        <w:t xml:space="preserve">mais </w:t>
      </w:r>
      <w:r>
        <w:rPr>
          <w:rStyle w:val="CharStyle15"/>
        </w:rPr>
        <w:t>grave (art. 156, §5°, da Lei)</w:t>
      </w:r>
    </w:p>
    <w:p>
      <w:pPr>
        <w:pStyle w:val="Style14"/>
        <w:keepNext w:val="0"/>
        <w:keepLines w:val="0"/>
        <w:widowControl w:val="0"/>
        <w:numPr>
          <w:ilvl w:val="0"/>
          <w:numId w:val="13"/>
        </w:numPr>
        <w:shd w:val="clear" w:color="auto" w:fill="auto"/>
        <w:tabs>
          <w:tab w:pos="1038" w:val="left"/>
        </w:tabs>
        <w:bidi w:val="0"/>
        <w:spacing w:before="0"/>
        <w:ind w:left="0" w:right="0" w:firstLine="660"/>
        <w:jc w:val="both"/>
      </w:pPr>
      <w:r>
        <w:rPr>
          <w:rStyle w:val="CharStyle15"/>
          <w:b/>
          <w:bCs/>
        </w:rPr>
        <w:t>Multa:</w:t>
      </w:r>
    </w:p>
    <w:p>
      <w:pPr>
        <w:pStyle w:val="Style14"/>
        <w:keepNext w:val="0"/>
        <w:keepLines w:val="0"/>
        <w:widowControl w:val="0"/>
        <w:shd w:val="clear" w:color="auto" w:fill="auto"/>
        <w:bidi w:val="0"/>
        <w:spacing w:before="0"/>
        <w:ind w:left="1320" w:right="0" w:firstLine="0"/>
        <w:jc w:val="both"/>
      </w:pPr>
      <w:r>
        <w:rPr>
          <w:rStyle w:val="CharStyle15"/>
        </w:rPr>
        <w:t>d.1) moratória de 5 % (Cinco por cento) por dia de atraso injustificado sobre o valor da parcela inadimplida, até o limite de 03 (três) dias;</w:t>
      </w:r>
    </w:p>
    <w:p>
      <w:pPr>
        <w:pStyle w:val="Style14"/>
        <w:keepNext w:val="0"/>
        <w:keepLines w:val="0"/>
        <w:widowControl w:val="0"/>
        <w:shd w:val="clear" w:color="auto" w:fill="auto"/>
        <w:bidi w:val="0"/>
        <w:spacing w:before="0" w:line="338" w:lineRule="auto"/>
        <w:ind w:left="1320" w:right="0" w:firstLine="0"/>
        <w:jc w:val="both"/>
      </w:pPr>
      <w:r>
        <w:rPr>
          <w:rStyle w:val="CharStyle15"/>
        </w:rPr>
        <w:t>d.2) moratória de 5% (cinco por cento) por dia de atraso injustificado sobre o valor total do contrato, até o máximo de 5 % (cinco por cento) pela inobservância do prazo fixado para apresentação, suplementação ou reposição da garantia.</w:t>
      </w:r>
    </w:p>
    <w:p>
      <w:pPr>
        <w:pStyle w:val="Style14"/>
        <w:keepNext w:val="0"/>
        <w:keepLines w:val="0"/>
        <w:widowControl w:val="0"/>
        <w:shd w:val="clear" w:color="auto" w:fill="auto"/>
        <w:bidi w:val="0"/>
        <w:spacing w:before="0" w:line="334" w:lineRule="auto"/>
        <w:ind w:left="1320" w:right="0" w:firstLine="0"/>
        <w:jc w:val="both"/>
      </w:pPr>
      <w:r>
        <w:rPr>
          <w:rStyle w:val="CharStyle15"/>
        </w:rPr>
        <w:t>d.3) O atraso superior a 03 (três) dias autoriza a Administração a promover a rescisão do contrato por descumprimento ou cumprimento irregular de suas cláusulas, conforme dispõe o inciso I do art. 137 da Lei n. 14.133/2021.</w:t>
      </w:r>
    </w:p>
    <w:p>
      <w:pPr>
        <w:pStyle w:val="Style14"/>
        <w:keepNext w:val="0"/>
        <w:keepLines w:val="0"/>
        <w:widowControl w:val="0"/>
        <w:shd w:val="clear" w:color="auto" w:fill="auto"/>
        <w:bidi w:val="0"/>
        <w:spacing w:before="0" w:line="331" w:lineRule="auto"/>
        <w:ind w:left="1320" w:right="0" w:firstLine="0"/>
        <w:jc w:val="both"/>
        <w:sectPr>
          <w:footerReference w:type="default" r:id="rId27"/>
          <w:footerReference w:type="first" r:id="rId28"/>
          <w:footnotePr>
            <w:pos w:val="pageBottom"/>
            <w:numFmt w:val="decimal"/>
            <w:numRestart w:val="continuous"/>
          </w:footnotePr>
          <w:pgSz w:w="11909" w:h="17331"/>
          <w:pgMar w:top="171" w:right="1312" w:bottom="2579" w:left="1256" w:header="0" w:footer="3" w:gutter="0"/>
          <w:cols w:space="720"/>
          <w:noEndnote/>
          <w:titlePg/>
          <w:rtlGutter w:val="0"/>
          <w:docGrid w:linePitch="360"/>
        </w:sectPr>
      </w:pPr>
      <w:r>
        <w:rPr>
          <w:rStyle w:val="CharStyle15"/>
        </w:rPr>
        <w:t>d.4) compensatória de 5 % (cinco por cento) sobre o valor total do contrato, no caso de inexecução total do objeto;</w:t>
      </w:r>
    </w:p>
    <w:p>
      <w:pPr>
        <w:pStyle w:val="Style17"/>
        <w:keepNext/>
        <w:keepLines/>
        <w:widowControl w:val="0"/>
        <w:shd w:val="clear" w:color="auto" w:fill="auto"/>
        <w:bidi w:val="0"/>
        <w:spacing w:before="0" w:after="0" w:line="286" w:lineRule="auto"/>
        <w:ind w:left="0" w:right="0" w:firstLine="0"/>
        <w:jc w:val="center"/>
      </w:pPr>
      <w:r>
        <w:drawing>
          <wp:anchor distT="0" distB="0" distL="114300" distR="114300" simplePos="0" relativeHeight="125829405" behindDoc="0" locked="0" layoutInCell="1" allowOverlap="1">
            <wp:simplePos x="0" y="0"/>
            <wp:positionH relativeFrom="page">
              <wp:posOffset>3300095</wp:posOffset>
            </wp:positionH>
            <wp:positionV relativeFrom="margin">
              <wp:posOffset>27305</wp:posOffset>
            </wp:positionV>
            <wp:extent cx="768350" cy="780415"/>
            <wp:wrapTopAndBottom/>
            <wp:docPr id="48" name="Shape 48"/>
            <a:graphic xmlns:a="http://schemas.openxmlformats.org/drawingml/2006/main">
              <a:graphicData uri="http://schemas.openxmlformats.org/drawingml/2006/picture">
                <pic:pic xmlns:pic="http://schemas.openxmlformats.org/drawingml/2006/picture">
                  <pic:nvPicPr>
                    <pic:cNvPr id="49" name="Picture box 49"/>
                    <pic:cNvPicPr/>
                  </pic:nvPicPr>
                  <pic:blipFill>
                    <a:blip r:embed="rId29"/>
                    <a:stretch/>
                  </pic:blipFill>
                  <pic:spPr>
                    <a:xfrm>
                      <a:ext cx="768350" cy="780415"/>
                    </a:xfrm>
                    <a:prstGeom prst="rect"/>
                  </pic:spPr>
                </pic:pic>
              </a:graphicData>
            </a:graphic>
          </wp:anchor>
        </w:drawing>
      </w:r>
      <w:bookmarkStart w:id="49" w:name="bookmark49"/>
      <w:r>
        <w:rPr>
          <w:rStyle w:val="CharStyle18"/>
          <w:b/>
          <w:bCs/>
          <w:sz w:val="22"/>
          <w:szCs w:val="22"/>
          <w:lang w:val="pt-BR" w:eastAsia="pt-BR" w:bidi="pt-BR"/>
        </w:rPr>
        <w:t>Borba Prev</w:t>
        <w:br/>
      </w:r>
      <w:r>
        <w:rPr>
          <w:rStyle w:val="CharStyle18"/>
          <w:b/>
          <w:bCs/>
          <w:lang w:val="pt-BR" w:eastAsia="pt-BR" w:bidi="pt-BR"/>
        </w:rPr>
        <w:t>FUNDO MUNICIPAL DE PREVIDÊNCIA SOCIAL DE BORBA-AM</w:t>
      </w:r>
      <w:bookmarkEnd w:id="49"/>
    </w:p>
    <w:p>
      <w:pPr>
        <w:pStyle w:val="Style14"/>
        <w:keepNext w:val="0"/>
        <w:keepLines w:val="0"/>
        <w:widowControl w:val="0"/>
        <w:numPr>
          <w:ilvl w:val="1"/>
          <w:numId w:val="9"/>
        </w:numPr>
        <w:shd w:val="clear" w:color="auto" w:fill="auto"/>
        <w:tabs>
          <w:tab w:pos="498" w:val="left"/>
        </w:tabs>
        <w:bidi w:val="0"/>
        <w:spacing w:before="0" w:line="329" w:lineRule="auto"/>
        <w:ind w:left="0" w:right="0" w:firstLine="0"/>
        <w:jc w:val="both"/>
      </w:pPr>
      <w:r>
        <w:rPr>
          <w:rStyle w:val="CharStyle15"/>
          <w:lang w:val="pt-BR" w:eastAsia="pt-BR" w:bidi="pt-BR"/>
        </w:rPr>
        <w:t>A aplicação das sanções previstas neste Contrato não exclui, em hipótese alguma, a obrigação de reparação integral do dano causado ao Contratante (art. 156, §9°)</w:t>
      </w:r>
    </w:p>
    <w:p>
      <w:pPr>
        <w:pStyle w:val="Style14"/>
        <w:keepNext w:val="0"/>
        <w:keepLines w:val="0"/>
        <w:widowControl w:val="0"/>
        <w:numPr>
          <w:ilvl w:val="1"/>
          <w:numId w:val="9"/>
        </w:numPr>
        <w:shd w:val="clear" w:color="auto" w:fill="auto"/>
        <w:tabs>
          <w:tab w:pos="508" w:val="left"/>
        </w:tabs>
        <w:bidi w:val="0"/>
        <w:spacing w:before="0" w:line="346" w:lineRule="auto"/>
        <w:ind w:left="0" w:right="0" w:firstLine="0"/>
        <w:jc w:val="both"/>
      </w:pPr>
      <w:r>
        <w:rPr>
          <w:rStyle w:val="CharStyle15"/>
          <w:lang w:val="pt-BR" w:eastAsia="pt-BR" w:bidi="pt-BR"/>
        </w:rPr>
        <w:t xml:space="preserve">Todas as sanções previstas neste Contrato </w:t>
      </w:r>
      <w:r>
        <w:rPr>
          <w:rStyle w:val="CharStyle15"/>
          <w:b/>
          <w:bCs/>
          <w:lang w:val="pt-BR" w:eastAsia="pt-BR" w:bidi="pt-BR"/>
        </w:rPr>
        <w:t xml:space="preserve">poderão </w:t>
      </w:r>
      <w:r>
        <w:rPr>
          <w:rStyle w:val="CharStyle15"/>
          <w:lang w:val="pt-BR" w:eastAsia="pt-BR" w:bidi="pt-BR"/>
        </w:rPr>
        <w:t>ser aplicadas cumulativamente com a multa (art. 156, §7°).</w:t>
      </w:r>
    </w:p>
    <w:p>
      <w:pPr>
        <w:pStyle w:val="Style14"/>
        <w:keepNext w:val="0"/>
        <w:keepLines w:val="0"/>
        <w:widowControl w:val="0"/>
        <w:numPr>
          <w:ilvl w:val="2"/>
          <w:numId w:val="9"/>
        </w:numPr>
        <w:shd w:val="clear" w:color="auto" w:fill="auto"/>
        <w:tabs>
          <w:tab w:pos="1327" w:val="left"/>
        </w:tabs>
        <w:bidi w:val="0"/>
        <w:spacing w:before="0" w:line="331" w:lineRule="auto"/>
        <w:ind w:left="680" w:right="0"/>
        <w:jc w:val="both"/>
      </w:pPr>
      <w:r>
        <w:rPr>
          <w:rStyle w:val="CharStyle15"/>
          <w:lang w:val="pt-BR" w:eastAsia="pt-BR" w:bidi="pt-BR"/>
        </w:rPr>
        <w:t>Antes da aplicação da multa será facultada a defesa do interessado no prazo de 15 (quinze) dias úteis, contado da data de sua intimação (art. 157)</w:t>
      </w:r>
    </w:p>
    <w:p>
      <w:pPr>
        <w:pStyle w:val="Style14"/>
        <w:keepNext w:val="0"/>
        <w:keepLines w:val="0"/>
        <w:widowControl w:val="0"/>
        <w:numPr>
          <w:ilvl w:val="2"/>
          <w:numId w:val="9"/>
        </w:numPr>
        <w:shd w:val="clear" w:color="auto" w:fill="auto"/>
        <w:tabs>
          <w:tab w:pos="1361" w:val="left"/>
        </w:tabs>
        <w:bidi w:val="0"/>
        <w:spacing w:before="0" w:line="338" w:lineRule="auto"/>
        <w:ind w:left="680" w:right="0"/>
        <w:jc w:val="both"/>
      </w:pPr>
      <w:r>
        <w:rPr>
          <w:rStyle w:val="CharStyle15"/>
          <w:lang w:val="pt-BR" w:eastAsia="pt-BR" w:bidi="pt-BR"/>
        </w:rPr>
        <w:t>Se a multa aplicada e as indenizações cabíveis forem superiores ao valor do pagamento eventualmente devido pelo Contratante ao Contratado, além da perda desse valor, a diferença será descontada da garantia prestada ou será cobrada judicialmente (art. 156, §8°).</w:t>
      </w:r>
    </w:p>
    <w:p>
      <w:pPr>
        <w:pStyle w:val="Style14"/>
        <w:keepNext w:val="0"/>
        <w:keepLines w:val="0"/>
        <w:widowControl w:val="0"/>
        <w:shd w:val="clear" w:color="auto" w:fill="auto"/>
        <w:bidi w:val="0"/>
        <w:spacing w:before="0"/>
        <w:ind w:left="680" w:right="0"/>
        <w:jc w:val="both"/>
      </w:pPr>
      <w:r>
        <w:rPr>
          <w:rStyle w:val="CharStyle15"/>
          <w:lang w:val="pt-BR" w:eastAsia="pt-BR" w:bidi="pt-BR"/>
        </w:rPr>
        <w:t>94-3- Previamente ao encaminhamento à cobrança judicial, a multa poderá ser recolhida administrativamente no prazo máximo de 10 (dias) dias, a contar da data do recebimento da comunicação enviada pela autoridade competente.</w:t>
      </w:r>
    </w:p>
    <w:p>
      <w:pPr>
        <w:pStyle w:val="Style14"/>
        <w:keepNext w:val="0"/>
        <w:keepLines w:val="0"/>
        <w:widowControl w:val="0"/>
        <w:numPr>
          <w:ilvl w:val="1"/>
          <w:numId w:val="9"/>
        </w:numPr>
        <w:shd w:val="clear" w:color="auto" w:fill="auto"/>
        <w:tabs>
          <w:tab w:pos="503" w:val="left"/>
        </w:tabs>
        <w:bidi w:val="0"/>
        <w:spacing w:before="0" w:line="334" w:lineRule="auto"/>
        <w:ind w:left="0" w:right="0" w:firstLine="0"/>
        <w:jc w:val="both"/>
      </w:pPr>
      <w:r>
        <w:rPr>
          <w:rStyle w:val="CharStyle15"/>
          <w:lang w:val="pt-BR" w:eastAsia="pt-BR" w:bidi="pt-BR"/>
        </w:rPr>
        <w:t xml:space="preserve">A aplicação das sanções realizar-se-á em processo administrativo que assegure o contraditório e a ampla defesa ao Contratado, observando-se o procedimento previsto no </w:t>
      </w:r>
      <w:r>
        <w:rPr>
          <w:rStyle w:val="CharStyle15"/>
        </w:rPr>
        <w:t xml:space="preserve">caput </w:t>
      </w:r>
      <w:r>
        <w:rPr>
          <w:rStyle w:val="CharStyle15"/>
          <w:lang w:val="pt-BR" w:eastAsia="pt-BR" w:bidi="pt-BR"/>
        </w:rPr>
        <w:t>e parágrafos do art. 158 da Lei n° 14.133/2021, para as penalidades de impedimento de licitar e contratar e de declaração de inidoneidade para licitar ou contratar.</w:t>
      </w:r>
    </w:p>
    <w:p>
      <w:pPr>
        <w:pStyle w:val="Style14"/>
        <w:keepNext w:val="0"/>
        <w:keepLines w:val="0"/>
        <w:widowControl w:val="0"/>
        <w:numPr>
          <w:ilvl w:val="1"/>
          <w:numId w:val="9"/>
        </w:numPr>
        <w:shd w:val="clear" w:color="auto" w:fill="auto"/>
        <w:tabs>
          <w:tab w:pos="513" w:val="left"/>
        </w:tabs>
        <w:bidi w:val="0"/>
        <w:spacing w:before="0" w:line="334" w:lineRule="auto"/>
        <w:ind w:left="0" w:right="0" w:firstLine="0"/>
        <w:jc w:val="both"/>
      </w:pPr>
      <w:r>
        <w:rPr>
          <w:rStyle w:val="CharStyle15"/>
          <w:lang w:val="pt-BR" w:eastAsia="pt-BR" w:bidi="pt-BR"/>
        </w:rPr>
        <w:t>Na aplicação das sanções serão considerados (art. 156, §1°):</w:t>
      </w:r>
    </w:p>
    <w:p>
      <w:pPr>
        <w:pStyle w:val="Style14"/>
        <w:keepNext w:val="0"/>
        <w:keepLines w:val="0"/>
        <w:widowControl w:val="0"/>
        <w:numPr>
          <w:ilvl w:val="0"/>
          <w:numId w:val="15"/>
        </w:numPr>
        <w:shd w:val="clear" w:color="auto" w:fill="auto"/>
        <w:tabs>
          <w:tab w:pos="1025" w:val="left"/>
        </w:tabs>
        <w:bidi w:val="0"/>
        <w:spacing w:before="0" w:line="334" w:lineRule="auto"/>
        <w:ind w:left="0" w:right="0" w:firstLine="680"/>
        <w:jc w:val="both"/>
      </w:pPr>
      <w:r>
        <w:rPr>
          <w:rStyle w:val="CharStyle15"/>
          <w:lang w:val="pt-BR" w:eastAsia="pt-BR" w:bidi="pt-BR"/>
        </w:rPr>
        <w:t>a natureza e a gravidade da infração cometida;</w:t>
      </w:r>
    </w:p>
    <w:p>
      <w:pPr>
        <w:pStyle w:val="Style14"/>
        <w:keepNext w:val="0"/>
        <w:keepLines w:val="0"/>
        <w:widowControl w:val="0"/>
        <w:numPr>
          <w:ilvl w:val="0"/>
          <w:numId w:val="15"/>
        </w:numPr>
        <w:shd w:val="clear" w:color="auto" w:fill="auto"/>
        <w:tabs>
          <w:tab w:pos="1034" w:val="left"/>
        </w:tabs>
        <w:bidi w:val="0"/>
        <w:spacing w:before="0" w:line="334" w:lineRule="auto"/>
        <w:ind w:left="0" w:right="0" w:firstLine="680"/>
        <w:jc w:val="both"/>
      </w:pPr>
      <w:r>
        <w:rPr>
          <w:rStyle w:val="CharStyle15"/>
          <w:lang w:val="pt-BR" w:eastAsia="pt-BR" w:bidi="pt-BR"/>
        </w:rPr>
        <w:t>as peculiaridades do caso concreto;</w:t>
      </w:r>
    </w:p>
    <w:p>
      <w:pPr>
        <w:pStyle w:val="Style14"/>
        <w:keepNext w:val="0"/>
        <w:keepLines w:val="0"/>
        <w:widowControl w:val="0"/>
        <w:numPr>
          <w:ilvl w:val="0"/>
          <w:numId w:val="15"/>
        </w:numPr>
        <w:shd w:val="clear" w:color="auto" w:fill="auto"/>
        <w:tabs>
          <w:tab w:pos="1015" w:val="left"/>
        </w:tabs>
        <w:bidi w:val="0"/>
        <w:spacing w:before="0" w:line="334" w:lineRule="auto"/>
        <w:ind w:left="0" w:right="0" w:firstLine="680"/>
        <w:jc w:val="both"/>
      </w:pPr>
      <w:r>
        <w:rPr>
          <w:rStyle w:val="CharStyle15"/>
          <w:lang w:val="pt-BR" w:eastAsia="pt-BR" w:bidi="pt-BR"/>
        </w:rPr>
        <w:t>as circunstâncias agravantes ou atenuantes;</w:t>
      </w:r>
    </w:p>
    <w:p>
      <w:pPr>
        <w:pStyle w:val="Style14"/>
        <w:keepNext w:val="0"/>
        <w:keepLines w:val="0"/>
        <w:widowControl w:val="0"/>
        <w:numPr>
          <w:ilvl w:val="0"/>
          <w:numId w:val="15"/>
        </w:numPr>
        <w:shd w:val="clear" w:color="auto" w:fill="auto"/>
        <w:tabs>
          <w:tab w:pos="1044" w:val="left"/>
        </w:tabs>
        <w:bidi w:val="0"/>
        <w:spacing w:before="0" w:line="334" w:lineRule="auto"/>
        <w:ind w:left="0" w:right="0" w:firstLine="680"/>
        <w:jc w:val="both"/>
      </w:pPr>
      <w:r>
        <w:rPr>
          <w:rStyle w:val="CharStyle15"/>
          <w:lang w:val="pt-BR" w:eastAsia="pt-BR" w:bidi="pt-BR"/>
        </w:rPr>
        <w:t>os danos que dela provierem para o Contratante;</w:t>
      </w:r>
    </w:p>
    <w:p>
      <w:pPr>
        <w:pStyle w:val="Style14"/>
        <w:keepNext w:val="0"/>
        <w:keepLines w:val="0"/>
        <w:widowControl w:val="0"/>
        <w:numPr>
          <w:ilvl w:val="0"/>
          <w:numId w:val="15"/>
        </w:numPr>
        <w:shd w:val="clear" w:color="auto" w:fill="auto"/>
        <w:tabs>
          <w:tab w:pos="1034" w:val="left"/>
        </w:tabs>
        <w:bidi w:val="0"/>
        <w:spacing w:before="0" w:line="331" w:lineRule="auto"/>
        <w:ind w:left="680" w:right="0"/>
        <w:jc w:val="both"/>
      </w:pPr>
      <w:r>
        <w:rPr>
          <w:rStyle w:val="CharStyle15"/>
          <w:lang w:val="pt-BR" w:eastAsia="pt-BR" w:bidi="pt-BR"/>
        </w:rPr>
        <w:t>a implantação ou o aperfeiçoamento de programa de integridade, conforme normas e orientações dos órgãos de controle.</w:t>
      </w:r>
    </w:p>
    <w:p>
      <w:pPr>
        <w:pStyle w:val="Style14"/>
        <w:keepNext w:val="0"/>
        <w:keepLines w:val="0"/>
        <w:widowControl w:val="0"/>
        <w:numPr>
          <w:ilvl w:val="1"/>
          <w:numId w:val="9"/>
        </w:numPr>
        <w:shd w:val="clear" w:color="auto" w:fill="auto"/>
        <w:tabs>
          <w:tab w:pos="503" w:val="left"/>
        </w:tabs>
        <w:bidi w:val="0"/>
        <w:spacing w:before="0" w:line="334" w:lineRule="auto"/>
        <w:ind w:left="0" w:right="0" w:firstLine="0"/>
        <w:jc w:val="both"/>
      </w:pPr>
      <w:r>
        <w:rPr>
          <w:rStyle w:val="CharStyle15"/>
          <w:lang w:val="pt-BR" w:eastAsia="pt-BR" w:bidi="pt-BR"/>
        </w:rPr>
        <w:t>Os atos previstos como infrações administrativas na Lei n° 14.133/2021, ou em outras leis de licitações e contratos da Administração Pública que também sejam tipificados como atos lesivos na Lei n° 12.846/2013, serão apurados e julgados conjuntamente, nos mesmos autos, observados o rito procedimental e autoridade competente definidos na referida Lei (art. 159)</w:t>
      </w:r>
    </w:p>
    <w:p>
      <w:pPr>
        <w:pStyle w:val="Style14"/>
        <w:keepNext w:val="0"/>
        <w:keepLines w:val="0"/>
        <w:widowControl w:val="0"/>
        <w:numPr>
          <w:ilvl w:val="1"/>
          <w:numId w:val="9"/>
        </w:numPr>
        <w:shd w:val="clear" w:color="auto" w:fill="auto"/>
        <w:tabs>
          <w:tab w:pos="517" w:val="left"/>
        </w:tabs>
        <w:bidi w:val="0"/>
        <w:spacing w:before="0" w:after="0" w:line="331" w:lineRule="auto"/>
        <w:ind w:left="0" w:right="0" w:firstLine="0"/>
        <w:jc w:val="both"/>
      </w:pPr>
      <w:r>
        <w:rPr>
          <w:rStyle w:val="CharStyle15"/>
          <w:lang w:val="pt-BR" w:eastAsia="pt-BR" w:bidi="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w:t>
      </w:r>
    </w:p>
    <w:p>
      <w:pPr>
        <w:pStyle w:val="Style14"/>
        <w:keepNext w:val="0"/>
        <w:keepLines w:val="0"/>
        <w:widowControl w:val="0"/>
        <w:shd w:val="clear" w:color="auto" w:fill="auto"/>
        <w:bidi w:val="0"/>
        <w:spacing w:before="0" w:after="0" w:line="240" w:lineRule="auto"/>
        <w:ind w:left="0" w:right="0" w:firstLine="0"/>
        <w:jc w:val="center"/>
        <w:rPr>
          <w:sz w:val="19"/>
          <w:szCs w:val="19"/>
        </w:rPr>
      </w:pPr>
      <w:r>
        <w:rPr>
          <w:rStyle w:val="CharStyle15"/>
          <w:sz w:val="19"/>
          <w:szCs w:val="19"/>
          <w:lang w:val="pt-BR" w:eastAsia="pt-BR" w:bidi="pt-BR"/>
        </w:rPr>
        <w:t>Travessa Jose Muniz de Castro, S/N, Cristo Rei- CEP:69.200-000/Borba-AM.</w:t>
      </w:r>
    </w:p>
    <w:p>
      <w:pPr>
        <w:pStyle w:val="Style14"/>
        <w:keepNext w:val="0"/>
        <w:keepLines w:val="0"/>
        <w:widowControl w:val="0"/>
        <w:shd w:val="clear" w:color="auto" w:fill="auto"/>
        <w:bidi w:val="0"/>
        <w:spacing w:before="0" w:after="0" w:line="240" w:lineRule="auto"/>
        <w:ind w:left="0" w:right="0" w:firstLine="0"/>
        <w:jc w:val="center"/>
        <w:rPr>
          <w:sz w:val="19"/>
          <w:szCs w:val="19"/>
        </w:rPr>
      </w:pPr>
      <w:r>
        <w:rPr>
          <w:rStyle w:val="CharStyle15"/>
          <w:sz w:val="19"/>
          <w:szCs w:val="19"/>
          <w:lang w:val="pt-BR" w:eastAsia="pt-BR" w:bidi="pt-BR"/>
        </w:rPr>
        <w:t>Fone:(92)99602-0911</w:t>
      </w:r>
    </w:p>
    <w:p>
      <w:pPr>
        <w:pStyle w:val="Style14"/>
        <w:keepNext w:val="0"/>
        <w:keepLines w:val="0"/>
        <w:widowControl w:val="0"/>
        <w:shd w:val="clear" w:color="auto" w:fill="auto"/>
        <w:bidi w:val="0"/>
        <w:spacing w:before="0" w:after="0" w:line="240" w:lineRule="auto"/>
        <w:ind w:left="0" w:right="0" w:firstLine="0"/>
        <w:jc w:val="center"/>
        <w:rPr>
          <w:sz w:val="19"/>
          <w:szCs w:val="19"/>
        </w:rPr>
      </w:pPr>
      <w:r>
        <w:rPr>
          <w:rStyle w:val="CharStyle15"/>
          <w:sz w:val="19"/>
          <w:szCs w:val="19"/>
          <w:lang w:val="pt-BR" w:eastAsia="pt-BR" w:bidi="pt-BR"/>
        </w:rPr>
        <w:t>https//borbaprev.transparencia-</w:t>
      </w:r>
      <w:r>
        <w:rPr>
          <w:rStyle w:val="CharStyle15"/>
          <w:sz w:val="19"/>
          <w:szCs w:val="19"/>
          <w:lang w:val="pt-BR" w:eastAsia="pt-BR" w:bidi="pt-BR"/>
        </w:rPr>
        <w:t>am.com.br</w:t>
      </w:r>
    </w:p>
    <w:p>
      <w:pPr>
        <w:pStyle w:val="Style14"/>
        <w:keepNext w:val="0"/>
        <w:keepLines w:val="0"/>
        <w:widowControl w:val="0"/>
        <w:shd w:val="clear" w:color="auto" w:fill="auto"/>
        <w:bidi w:val="0"/>
        <w:spacing w:before="0" w:line="240" w:lineRule="auto"/>
        <w:ind w:left="0" w:right="0" w:firstLine="0"/>
        <w:jc w:val="center"/>
        <w:rPr>
          <w:sz w:val="19"/>
          <w:szCs w:val="19"/>
        </w:rPr>
      </w:pPr>
      <w:r>
        <w:drawing>
          <wp:anchor distT="0" distB="0" distL="50800" distR="50800" simplePos="0" relativeHeight="125829406" behindDoc="0" locked="0" layoutInCell="1" allowOverlap="1">
            <wp:simplePos x="0" y="0"/>
            <wp:positionH relativeFrom="page">
              <wp:posOffset>6082665</wp:posOffset>
            </wp:positionH>
            <wp:positionV relativeFrom="margin">
              <wp:posOffset>8464550</wp:posOffset>
            </wp:positionV>
            <wp:extent cx="1176655" cy="1450975"/>
            <wp:wrapSquare wrapText="bothSides"/>
            <wp:docPr id="50" name="Shape 50"/>
            <a:graphic xmlns:a="http://schemas.openxmlformats.org/drawingml/2006/main">
              <a:graphicData uri="http://schemas.openxmlformats.org/drawingml/2006/picture">
                <pic:pic xmlns:pic="http://schemas.openxmlformats.org/drawingml/2006/picture">
                  <pic:nvPicPr>
                    <pic:cNvPr id="51" name="Picture box 51"/>
                    <pic:cNvPicPr/>
                  </pic:nvPicPr>
                  <pic:blipFill>
                    <a:blip r:embed="rId31"/>
                    <a:stretch/>
                  </pic:blipFill>
                  <pic:spPr>
                    <a:xfrm>
                      <a:ext cx="1176655" cy="1450975"/>
                    </a:xfrm>
                    <a:prstGeom prst="rect"/>
                  </pic:spPr>
                </pic:pic>
              </a:graphicData>
            </a:graphic>
          </wp:anchor>
        </w:drawing>
      </w:r>
      <w:r>
        <w:rPr>
          <w:rStyle w:val="CharStyle15"/>
          <w:sz w:val="19"/>
          <w:szCs w:val="19"/>
          <w:lang w:val="pt-BR" w:eastAsia="pt-BR" w:bidi="pt-BR"/>
        </w:rPr>
        <w:t xml:space="preserve">e-mail: </w:t>
      </w:r>
      <w:r>
        <w:fldChar w:fldCharType="begin"/>
      </w:r>
      <w:r>
        <w:rPr/>
        <w:instrText> HYPERLINK "mailto:rpps@borbaprev.com" </w:instrText>
      </w:r>
      <w:r>
        <w:fldChar w:fldCharType="separate"/>
      </w:r>
      <w:r>
        <w:rPr>
          <w:rStyle w:val="CharStyle15"/>
          <w:sz w:val="19"/>
          <w:szCs w:val="19"/>
          <w:lang w:val="en-US" w:eastAsia="en-US" w:bidi="en-US"/>
        </w:rPr>
        <w:t>rpps@borbaprev.com</w:t>
      </w:r>
      <w:r>
        <w:fldChar w:fldCharType="end"/>
      </w:r>
    </w:p>
    <w:p>
      <w:pPr>
        <w:widowControl w:val="0"/>
        <w:jc w:val="center"/>
        <w:rPr>
          <w:sz w:val="2"/>
          <w:szCs w:val="2"/>
        </w:rPr>
      </w:pPr>
      <w:r>
        <w:drawing>
          <wp:inline>
            <wp:extent cx="768350" cy="780415"/>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33"/>
                    <a:stretch/>
                  </pic:blipFill>
                  <pic:spPr>
                    <a:xfrm>
                      <a:ext cx="768350" cy="780415"/>
                    </a:xfrm>
                    <a:prstGeom prst="rect"/>
                  </pic:spPr>
                </pic:pic>
              </a:graphicData>
            </a:graphic>
          </wp:inline>
        </w:drawing>
      </w:r>
    </w:p>
    <w:p>
      <w:pPr>
        <w:pStyle w:val="Style14"/>
        <w:keepNext w:val="0"/>
        <w:keepLines w:val="0"/>
        <w:widowControl w:val="0"/>
        <w:shd w:val="clear" w:color="auto" w:fill="auto"/>
        <w:bidi w:val="0"/>
        <w:spacing w:before="0" w:after="0" w:line="305"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40"/>
        <w:ind w:left="0" w:right="0" w:firstLine="0"/>
        <w:jc w:val="center"/>
      </w:pPr>
      <w:bookmarkStart w:id="51" w:name="bookmark51"/>
      <w:r>
        <w:rPr>
          <w:rStyle w:val="CharStyle18"/>
          <w:b/>
          <w:bCs/>
          <w:lang w:val="pt-BR" w:eastAsia="pt-BR" w:bidi="pt-BR"/>
        </w:rPr>
        <w:t>FUNDO MUNICIPAL DE PREVIDÊNCIA SOCIAL DE BORBA-AM</w:t>
      </w:r>
      <w:bookmarkEnd w:id="51"/>
    </w:p>
    <w:p>
      <w:pPr>
        <w:pStyle w:val="Style14"/>
        <w:keepNext w:val="0"/>
        <w:keepLines w:val="0"/>
        <w:widowControl w:val="0"/>
        <w:shd w:val="clear" w:color="auto" w:fill="auto"/>
        <w:bidi w:val="0"/>
        <w:spacing w:before="0"/>
        <w:ind w:left="0" w:right="0" w:firstLine="0"/>
        <w:jc w:val="both"/>
      </w:pPr>
      <w:r>
        <w:rPr>
          <w:rStyle w:val="CharStyle15"/>
          <w:lang w:val="pt-BR" w:eastAsia="pt-BR" w:bidi="pt-BR"/>
        </w:rPr>
        <w:t>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Style14"/>
        <w:keepNext w:val="0"/>
        <w:keepLines w:val="0"/>
        <w:widowControl w:val="0"/>
        <w:numPr>
          <w:ilvl w:val="1"/>
          <w:numId w:val="9"/>
        </w:numPr>
        <w:shd w:val="clear" w:color="auto" w:fill="auto"/>
        <w:tabs>
          <w:tab w:pos="511" w:val="left"/>
        </w:tabs>
        <w:bidi w:val="0"/>
        <w:spacing w:before="0"/>
        <w:ind w:left="0" w:right="0" w:firstLine="0"/>
        <w:jc w:val="both"/>
      </w:pPr>
      <w:r>
        <w:rPr>
          <w:rStyle w:val="CharStyle15"/>
          <w:lang w:val="pt-BR" w:eastAsia="pt-BR" w:bidi="pt-BR"/>
        </w:rPr>
        <w:t>0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pStyle w:val="Style14"/>
        <w:keepNext w:val="0"/>
        <w:keepLines w:val="0"/>
        <w:widowControl w:val="0"/>
        <w:numPr>
          <w:ilvl w:val="1"/>
          <w:numId w:val="9"/>
        </w:numPr>
        <w:shd w:val="clear" w:color="auto" w:fill="auto"/>
        <w:tabs>
          <w:tab w:pos="574" w:val="left"/>
        </w:tabs>
        <w:bidi w:val="0"/>
        <w:spacing w:before="0" w:after="220" w:line="341" w:lineRule="auto"/>
        <w:ind w:left="0" w:right="0" w:firstLine="0"/>
        <w:jc w:val="both"/>
      </w:pPr>
      <w:r>
        <w:rPr>
          <w:rStyle w:val="CharStyle15"/>
          <w:lang w:val="pt-BR" w:eastAsia="pt-BR" w:bidi="pt-BR"/>
        </w:rPr>
        <w:t>As sanções de impedimento de licitar e contratar e declaração de inidoneidade para licitar ou contratar são passíveis de reabilitação na forma do art. 163 da Lei n° 14.133/2021.</w:t>
      </w:r>
    </w:p>
    <w:p>
      <w:pPr>
        <w:pStyle w:val="Style2"/>
        <w:keepNext/>
        <w:keepLines/>
        <w:widowControl w:val="0"/>
        <w:numPr>
          <w:ilvl w:val="0"/>
          <w:numId w:val="9"/>
        </w:numPr>
        <w:shd w:val="clear" w:color="auto" w:fill="auto"/>
        <w:tabs>
          <w:tab w:pos="421" w:val="left"/>
        </w:tabs>
        <w:bidi w:val="0"/>
        <w:spacing w:before="0" w:after="40" w:line="341" w:lineRule="auto"/>
        <w:ind w:left="0" w:right="0" w:firstLine="0"/>
        <w:jc w:val="both"/>
      </w:pPr>
      <w:bookmarkStart w:id="53" w:name="bookmark53"/>
      <w:r>
        <w:rPr>
          <w:rStyle w:val="CharStyle3"/>
          <w:b/>
          <w:bCs/>
        </w:rPr>
        <w:t>CLÁUSULA DÉCIMA PRIMEIRA - DA EXTINÇÃO CONTRATUAL (art. 92, XIX)</w:t>
      </w:r>
      <w:bookmarkEnd w:id="53"/>
    </w:p>
    <w:p>
      <w:pPr>
        <w:pStyle w:val="Style14"/>
        <w:keepNext w:val="0"/>
        <w:keepLines w:val="0"/>
        <w:widowControl w:val="0"/>
        <w:numPr>
          <w:ilvl w:val="1"/>
          <w:numId w:val="9"/>
        </w:numPr>
        <w:shd w:val="clear" w:color="auto" w:fill="auto"/>
        <w:tabs>
          <w:tab w:pos="535" w:val="left"/>
        </w:tabs>
        <w:bidi w:val="0"/>
        <w:spacing w:before="0" w:line="341" w:lineRule="auto"/>
        <w:ind w:left="0" w:right="0" w:firstLine="0"/>
        <w:jc w:val="both"/>
      </w:pPr>
      <w:r>
        <w:rPr>
          <w:rStyle w:val="CharStyle15"/>
          <w:lang w:val="pt-BR" w:eastAsia="pt-BR" w:bidi="pt-BR"/>
        </w:rPr>
        <w:t>O contrato se extingue quando cumpridas as obrigações de ambas as partes, ainda que isso ocorra antes do prazo estipulado para tanto.</w:t>
      </w:r>
    </w:p>
    <w:p>
      <w:pPr>
        <w:pStyle w:val="Style14"/>
        <w:keepNext w:val="0"/>
        <w:keepLines w:val="0"/>
        <w:widowControl w:val="0"/>
        <w:numPr>
          <w:ilvl w:val="1"/>
          <w:numId w:val="9"/>
        </w:numPr>
        <w:shd w:val="clear" w:color="auto" w:fill="auto"/>
        <w:tabs>
          <w:tab w:pos="559" w:val="left"/>
        </w:tabs>
        <w:bidi w:val="0"/>
        <w:spacing w:before="0" w:line="338" w:lineRule="auto"/>
        <w:ind w:left="0" w:right="0" w:firstLine="0"/>
        <w:jc w:val="both"/>
      </w:pPr>
      <w:r>
        <w:rPr>
          <w:rStyle w:val="CharStyle15"/>
          <w:lang w:val="pt-BR" w:eastAsia="pt-BR" w:bidi="pt-BR"/>
        </w:rPr>
        <w:t>Se as obrigações não forem cumpridas no prazo estipulado, a vigência ficará prorrogada até a conclusão do objeto, caso em que deverá a Administração providenciar a readequação do cronograma fixado para o contrato.</w:t>
      </w:r>
    </w:p>
    <w:p>
      <w:pPr>
        <w:pStyle w:val="Style14"/>
        <w:keepNext w:val="0"/>
        <w:keepLines w:val="0"/>
        <w:widowControl w:val="0"/>
        <w:numPr>
          <w:ilvl w:val="1"/>
          <w:numId w:val="9"/>
        </w:numPr>
        <w:shd w:val="clear" w:color="auto" w:fill="auto"/>
        <w:tabs>
          <w:tab w:pos="564" w:val="left"/>
        </w:tabs>
        <w:bidi w:val="0"/>
        <w:spacing w:before="0"/>
        <w:ind w:left="0" w:right="0" w:firstLine="0"/>
        <w:jc w:val="both"/>
      </w:pPr>
      <w:r>
        <w:rPr>
          <w:rStyle w:val="CharStyle15"/>
          <w:lang w:val="pt-BR" w:eastAsia="pt-BR" w:bidi="pt-BR"/>
        </w:rPr>
        <w:t>Quando a não conclusão do contrato referida no item anterior decorrer de culpa do contratado:</w:t>
      </w:r>
    </w:p>
    <w:p>
      <w:pPr>
        <w:pStyle w:val="Style14"/>
        <w:keepNext w:val="0"/>
        <w:keepLines w:val="0"/>
        <w:widowControl w:val="0"/>
        <w:numPr>
          <w:ilvl w:val="0"/>
          <w:numId w:val="17"/>
        </w:numPr>
        <w:shd w:val="clear" w:color="auto" w:fill="auto"/>
        <w:tabs>
          <w:tab w:pos="1006" w:val="left"/>
        </w:tabs>
        <w:bidi w:val="0"/>
        <w:spacing w:before="0" w:line="307" w:lineRule="auto"/>
        <w:ind w:left="660" w:right="0" w:firstLine="0"/>
        <w:jc w:val="both"/>
      </w:pPr>
      <w:r>
        <w:rPr>
          <w:rStyle w:val="CharStyle15"/>
          <w:lang w:val="pt-BR" w:eastAsia="pt-BR" w:bidi="pt-BR"/>
        </w:rPr>
        <w:t>ficará ele constituído em mora, sendo-lhe aplicáveis as respectivas sanções administrativas; e</w:t>
      </w:r>
    </w:p>
    <w:p>
      <w:pPr>
        <w:pStyle w:val="Style14"/>
        <w:keepNext w:val="0"/>
        <w:keepLines w:val="0"/>
        <w:widowControl w:val="0"/>
        <w:numPr>
          <w:ilvl w:val="0"/>
          <w:numId w:val="17"/>
        </w:numPr>
        <w:shd w:val="clear" w:color="auto" w:fill="auto"/>
        <w:tabs>
          <w:tab w:pos="1008" w:val="left"/>
        </w:tabs>
        <w:bidi w:val="0"/>
        <w:spacing w:before="0" w:after="140" w:line="290" w:lineRule="auto"/>
        <w:ind w:left="660" w:right="0" w:firstLine="0"/>
        <w:jc w:val="both"/>
      </w:pPr>
      <w:r>
        <w:rPr>
          <w:rStyle w:val="CharStyle15"/>
          <w:lang w:val="pt-BR" w:eastAsia="pt-BR" w:bidi="pt-BR"/>
        </w:rPr>
        <w:t>poderá a Administração optar pela extinção do contrato e, nesse caso, adotará as medidas admitidas em lei para a continuidade da execução contratual.</w:t>
      </w:r>
    </w:p>
    <w:p>
      <w:pPr>
        <w:pStyle w:val="Style14"/>
        <w:keepNext w:val="0"/>
        <w:keepLines w:val="0"/>
        <w:widowControl w:val="0"/>
        <w:numPr>
          <w:ilvl w:val="1"/>
          <w:numId w:val="19"/>
        </w:numPr>
        <w:shd w:val="clear" w:color="auto" w:fill="auto"/>
        <w:tabs>
          <w:tab w:pos="559" w:val="left"/>
        </w:tabs>
        <w:bidi w:val="0"/>
        <w:spacing w:before="0" w:line="338" w:lineRule="auto"/>
        <w:ind w:left="0" w:right="0" w:firstLine="0"/>
        <w:jc w:val="both"/>
      </w:pPr>
      <w:r>
        <w:rPr>
          <w:rStyle w:val="CharStyle15"/>
          <w:lang w:val="pt-BR" w:eastAsia="pt-BR" w:bidi="pt-BR"/>
        </w:rPr>
        <w:t>O contrato pode ser extinto antes de cumpridas as obrigações nele estipuladas, ou antes do prazo nele fixado, por algum dos motivos previstos no artigo 137 da Lei n° 14.133/2021, bem como amigavelmente, assegurados o contraditório e a ampla defesa.</w:t>
      </w:r>
    </w:p>
    <w:p>
      <w:pPr>
        <w:pStyle w:val="Style14"/>
        <w:keepNext w:val="0"/>
        <w:keepLines w:val="0"/>
        <w:widowControl w:val="0"/>
        <w:numPr>
          <w:ilvl w:val="2"/>
          <w:numId w:val="21"/>
        </w:numPr>
        <w:shd w:val="clear" w:color="auto" w:fill="auto"/>
        <w:tabs>
          <w:tab w:pos="1359" w:val="left"/>
        </w:tabs>
        <w:bidi w:val="0"/>
        <w:spacing w:before="0"/>
        <w:ind w:left="0" w:right="0" w:firstLine="660"/>
        <w:jc w:val="both"/>
      </w:pPr>
      <w:r>
        <w:rPr>
          <w:rStyle w:val="CharStyle15"/>
          <w:lang w:val="pt-BR" w:eastAsia="pt-BR" w:bidi="pt-BR"/>
        </w:rPr>
        <w:t>Nesta hipótese, aplicam-se também os artigos 138 e 139 da mesma Lei.</w:t>
      </w:r>
    </w:p>
    <w:p>
      <w:pPr>
        <w:pStyle w:val="Style14"/>
        <w:keepNext w:val="0"/>
        <w:keepLines w:val="0"/>
        <w:widowControl w:val="0"/>
        <w:numPr>
          <w:ilvl w:val="2"/>
          <w:numId w:val="21"/>
        </w:numPr>
        <w:shd w:val="clear" w:color="auto" w:fill="auto"/>
        <w:tabs>
          <w:tab w:pos="1383" w:val="left"/>
        </w:tabs>
        <w:bidi w:val="0"/>
        <w:spacing w:before="0" w:line="331" w:lineRule="auto"/>
        <w:ind w:left="660" w:right="0" w:firstLine="0"/>
        <w:jc w:val="both"/>
      </w:pPr>
      <w:r>
        <w:rPr>
          <w:rStyle w:val="CharStyle15"/>
          <w:lang w:val="pt-BR" w:eastAsia="pt-BR" w:bidi="pt-BR"/>
        </w:rPr>
        <w:t>A alteração social ou a modificação da finalidade ou da estrutura da empresa não ensejará a rescisão se não restringir sua capacidade de concluir o contrato.</w:t>
      </w:r>
    </w:p>
    <w:p>
      <w:pPr>
        <w:pStyle w:val="Style14"/>
        <w:keepNext w:val="0"/>
        <w:keepLines w:val="0"/>
        <w:widowControl w:val="0"/>
        <w:numPr>
          <w:ilvl w:val="3"/>
          <w:numId w:val="21"/>
        </w:numPr>
        <w:shd w:val="clear" w:color="auto" w:fill="auto"/>
        <w:tabs>
          <w:tab w:pos="2216" w:val="left"/>
        </w:tabs>
        <w:bidi w:val="0"/>
        <w:spacing w:before="0"/>
        <w:ind w:left="1340" w:right="0" w:firstLine="0"/>
        <w:jc w:val="both"/>
      </w:pPr>
      <w:r>
        <w:rPr>
          <w:rStyle w:val="CharStyle15"/>
          <w:lang w:val="pt-BR" w:eastAsia="pt-BR" w:bidi="pt-BR"/>
        </w:rPr>
        <w:t>Se a operação implicar mudança da pessoa jurídica contratada, deverá ser formalizado termo aditivo para alteração subjetiva.</w:t>
      </w:r>
    </w:p>
    <w:p>
      <w:pPr>
        <w:pStyle w:val="Style26"/>
        <w:keepNext/>
        <w:keepLines/>
        <w:widowControl w:val="0"/>
        <w:pBdr>
          <w:top w:val="single" w:sz="0" w:space="0" w:color="878385"/>
          <w:left w:val="single" w:sz="0" w:space="0" w:color="878385"/>
          <w:bottom w:val="single" w:sz="0" w:space="0" w:color="878385"/>
          <w:right w:val="single" w:sz="0" w:space="0" w:color="878385"/>
        </w:pBdr>
        <w:shd w:val="clear" w:color="auto" w:fill="878385"/>
        <w:bidi w:val="0"/>
        <w:spacing w:before="0" w:after="0" w:line="240" w:lineRule="auto"/>
        <w:ind w:left="0" w:right="0" w:firstLine="0"/>
        <w:jc w:val="center"/>
      </w:pPr>
      <w:bookmarkStart w:id="55" w:name="bookmark55"/>
      <w:r>
        <w:rPr>
          <w:rStyle w:val="CharStyle27"/>
          <w:color w:val="FFFFFF"/>
        </w:rPr>
        <w:t>31</w:t>
      </w:r>
      <w:bookmarkEnd w:id="55"/>
    </w:p>
    <w:p>
      <w:pPr>
        <w:pStyle w:val="Style14"/>
        <w:keepNext w:val="0"/>
        <w:keepLines w:val="0"/>
        <w:widowControl w:val="0"/>
        <w:shd w:val="clear" w:color="auto" w:fill="auto"/>
        <w:bidi w:val="0"/>
        <w:spacing w:before="0" w:after="0" w:line="305"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ind w:left="0" w:right="0" w:firstLine="0"/>
        <w:jc w:val="center"/>
      </w:pPr>
      <w:bookmarkStart w:id="57" w:name="bookmark57"/>
      <w:r>
        <w:rPr>
          <w:rStyle w:val="CharStyle18"/>
          <w:b/>
          <w:bCs/>
          <w:lang w:val="pt-BR" w:eastAsia="pt-BR" w:bidi="pt-BR"/>
        </w:rPr>
        <w:t>FUNDO MUNICIPAL DE PREVIDÊNCIA SOCIAL DE BORBA-AM</w:t>
      </w:r>
      <w:bookmarkEnd w:id="57"/>
    </w:p>
    <w:p>
      <w:pPr>
        <w:pStyle w:val="Style14"/>
        <w:keepNext w:val="0"/>
        <w:keepLines w:val="0"/>
        <w:widowControl w:val="0"/>
        <w:numPr>
          <w:ilvl w:val="1"/>
          <w:numId w:val="23"/>
        </w:numPr>
        <w:shd w:val="clear" w:color="auto" w:fill="auto"/>
        <w:tabs>
          <w:tab w:pos="608" w:val="left"/>
        </w:tabs>
        <w:bidi w:val="0"/>
        <w:spacing w:before="0" w:after="80"/>
        <w:ind w:left="0" w:right="0" w:firstLine="0"/>
        <w:jc w:val="both"/>
      </w:pPr>
      <w:r>
        <w:rPr>
          <w:rStyle w:val="CharStyle15"/>
          <w:lang w:val="pt-BR" w:eastAsia="pt-BR" w:bidi="pt-BR"/>
        </w:rPr>
        <w:t>O termo de rescisão, sempre que possível, será precedido:</w:t>
      </w:r>
    </w:p>
    <w:p>
      <w:pPr>
        <w:pStyle w:val="Style14"/>
        <w:keepNext w:val="0"/>
        <w:keepLines w:val="0"/>
        <w:widowControl w:val="0"/>
        <w:numPr>
          <w:ilvl w:val="2"/>
          <w:numId w:val="23"/>
        </w:numPr>
        <w:shd w:val="clear" w:color="auto" w:fill="auto"/>
        <w:tabs>
          <w:tab w:pos="1442" w:val="left"/>
        </w:tabs>
        <w:bidi w:val="0"/>
        <w:spacing w:before="0" w:after="80"/>
        <w:ind w:left="0" w:right="0" w:firstLine="700"/>
        <w:jc w:val="both"/>
      </w:pPr>
      <w:r>
        <w:rPr>
          <w:rStyle w:val="CharStyle15"/>
          <w:lang w:val="pt-BR" w:eastAsia="pt-BR" w:bidi="pt-BR"/>
        </w:rPr>
        <w:t>Balanço dos eventos contratuais já cumpridos ou parcialmente cumpridos;</w:t>
      </w:r>
    </w:p>
    <w:p>
      <w:pPr>
        <w:pStyle w:val="Style14"/>
        <w:keepNext w:val="0"/>
        <w:keepLines w:val="0"/>
        <w:widowControl w:val="0"/>
        <w:numPr>
          <w:ilvl w:val="2"/>
          <w:numId w:val="23"/>
        </w:numPr>
        <w:shd w:val="clear" w:color="auto" w:fill="auto"/>
        <w:tabs>
          <w:tab w:pos="1466" w:val="left"/>
        </w:tabs>
        <w:bidi w:val="0"/>
        <w:spacing w:before="0" w:after="80"/>
        <w:ind w:left="0" w:right="0" w:firstLine="700"/>
        <w:jc w:val="both"/>
      </w:pPr>
      <w:r>
        <w:rPr>
          <w:rStyle w:val="CharStyle15"/>
          <w:lang w:val="pt-BR" w:eastAsia="pt-BR" w:bidi="pt-BR"/>
        </w:rPr>
        <w:t>Relação dos pagamentos já efetuados e ainda devidos;</w:t>
      </w:r>
    </w:p>
    <w:p>
      <w:pPr>
        <w:pStyle w:val="Style14"/>
        <w:keepNext w:val="0"/>
        <w:keepLines w:val="0"/>
        <w:widowControl w:val="0"/>
        <w:numPr>
          <w:ilvl w:val="2"/>
          <w:numId w:val="25"/>
        </w:numPr>
        <w:shd w:val="clear" w:color="auto" w:fill="auto"/>
        <w:tabs>
          <w:tab w:pos="1486" w:val="left"/>
        </w:tabs>
        <w:bidi w:val="0"/>
        <w:spacing w:before="0" w:after="80"/>
        <w:ind w:left="0" w:right="0" w:firstLine="700"/>
        <w:jc w:val="both"/>
      </w:pPr>
      <w:r>
        <w:rPr>
          <w:rStyle w:val="CharStyle15"/>
          <w:lang w:val="pt-BR" w:eastAsia="pt-BR" w:bidi="pt-BR"/>
        </w:rPr>
        <w:t>Indenizações e multas.</w:t>
      </w:r>
    </w:p>
    <w:p>
      <w:pPr>
        <w:pStyle w:val="Style14"/>
        <w:keepNext w:val="0"/>
        <w:keepLines w:val="0"/>
        <w:widowControl w:val="0"/>
        <w:numPr>
          <w:ilvl w:val="1"/>
          <w:numId w:val="27"/>
        </w:numPr>
        <w:shd w:val="clear" w:color="auto" w:fill="auto"/>
        <w:tabs>
          <w:tab w:pos="622" w:val="left"/>
        </w:tabs>
        <w:bidi w:val="0"/>
        <w:spacing w:before="0" w:after="200"/>
        <w:ind w:left="0" w:right="0" w:firstLine="0"/>
        <w:jc w:val="both"/>
      </w:pPr>
      <w:r>
        <w:rPr>
          <w:rStyle w:val="CharStyle15"/>
          <w:lang w:val="pt-BR" w:eastAsia="pt-BR" w:bidi="pt-BR"/>
        </w:rPr>
        <w:t xml:space="preserve">A extinção do contrato não configura óbice para o reconhecimento do desequilíbrio </w:t>
      </w:r>
      <w:r>
        <w:rPr>
          <w:rStyle w:val="CharStyle15"/>
        </w:rPr>
        <w:t xml:space="preserve">económico-financeiro, </w:t>
      </w:r>
      <w:r>
        <w:rPr>
          <w:rStyle w:val="CharStyle15"/>
          <w:lang w:val="pt-BR" w:eastAsia="pt-BR" w:bidi="pt-BR"/>
        </w:rPr>
        <w:t xml:space="preserve">hipótese em que será concedida indenização por meio de termo indenizatório (art. 131, </w:t>
      </w:r>
      <w:r>
        <w:rPr>
          <w:rStyle w:val="CharStyle15"/>
          <w:i/>
          <w:iCs/>
        </w:rPr>
        <w:t>caput).</w:t>
      </w:r>
    </w:p>
    <w:p>
      <w:pPr>
        <w:pStyle w:val="Style2"/>
        <w:keepNext/>
        <w:keepLines/>
        <w:widowControl w:val="0"/>
        <w:numPr>
          <w:ilvl w:val="0"/>
          <w:numId w:val="29"/>
        </w:numPr>
        <w:shd w:val="clear" w:color="auto" w:fill="auto"/>
        <w:tabs>
          <w:tab w:pos="392" w:val="left"/>
        </w:tabs>
        <w:bidi w:val="0"/>
        <w:spacing w:before="0" w:line="341" w:lineRule="auto"/>
        <w:ind w:left="0" w:right="0" w:firstLine="0"/>
        <w:jc w:val="both"/>
      </w:pPr>
      <w:bookmarkStart w:id="59" w:name="bookmark59"/>
      <w:r>
        <w:rPr>
          <w:rStyle w:val="CharStyle3"/>
          <w:b/>
          <w:bCs/>
        </w:rPr>
        <w:t>CLÁUSULA DÉCIMA SEGUNDA - DOTAÇÃO ORÇAMENTÁRIA (art. 92, VIII)</w:t>
      </w:r>
      <w:bookmarkEnd w:id="59"/>
    </w:p>
    <w:p>
      <w:pPr>
        <w:pStyle w:val="Style14"/>
        <w:keepNext w:val="0"/>
        <w:keepLines w:val="0"/>
        <w:widowControl w:val="0"/>
        <w:numPr>
          <w:ilvl w:val="1"/>
          <w:numId w:val="29"/>
        </w:numPr>
        <w:shd w:val="clear" w:color="auto" w:fill="auto"/>
        <w:tabs>
          <w:tab w:pos="536" w:val="left"/>
        </w:tabs>
        <w:bidi w:val="0"/>
        <w:spacing w:before="0" w:after="80" w:line="341" w:lineRule="auto"/>
        <w:ind w:left="0" w:right="0" w:firstLine="0"/>
        <w:jc w:val="both"/>
      </w:pPr>
      <w:r>
        <w:rPr>
          <w:rStyle w:val="CharStyle15"/>
          <w:lang w:val="pt-BR" w:eastAsia="pt-BR" w:bidi="pt-BR"/>
        </w:rPr>
        <w:t>As despesas decorrentes da presente contratação correrão à conta de recursos específicos consignados no orçamento do Município deste exercício, na dotação abaixo discriminada:</w:t>
      </w:r>
    </w:p>
    <w:p>
      <w:pPr>
        <w:pStyle w:val="Style28"/>
        <w:keepNext w:val="0"/>
        <w:keepLines w:val="0"/>
        <w:widowControl w:val="0"/>
        <w:shd w:val="clear" w:color="auto" w:fill="auto"/>
        <w:bidi w:val="0"/>
        <w:spacing w:before="0" w:line="240" w:lineRule="auto"/>
        <w:ind w:left="0" w:right="0" w:firstLine="0"/>
        <w:jc w:val="both"/>
      </w:pPr>
      <w:r>
        <w:rPr>
          <w:rStyle w:val="CharStyle29"/>
        </w:rPr>
        <w:t xml:space="preserve">FUNDO </w:t>
      </w:r>
      <w:r>
        <w:rPr>
          <w:rStyle w:val="CharStyle29"/>
          <w:b/>
          <w:bCs/>
          <w:i/>
          <w:iCs/>
        </w:rPr>
        <w:t>DE APOSENTADORIA</w:t>
      </w:r>
      <w:r>
        <w:rPr>
          <w:rStyle w:val="CharStyle29"/>
        </w:rPr>
        <w:t xml:space="preserve"> E </w:t>
      </w:r>
      <w:r>
        <w:rPr>
          <w:rStyle w:val="CharStyle29"/>
          <w:b/>
          <w:bCs/>
          <w:i/>
          <w:iCs/>
        </w:rPr>
        <w:t>PENSÕES DE BORBA</w:t>
      </w:r>
    </w:p>
    <w:p>
      <w:pPr>
        <w:pStyle w:val="Style28"/>
        <w:keepNext w:val="0"/>
        <w:keepLines w:val="0"/>
        <w:widowControl w:val="0"/>
        <w:shd w:val="clear" w:color="auto" w:fill="auto"/>
        <w:bidi w:val="0"/>
        <w:spacing w:before="0" w:after="80" w:line="240" w:lineRule="auto"/>
        <w:ind w:left="0" w:right="0" w:firstLine="0"/>
        <w:jc w:val="both"/>
      </w:pPr>
      <w:r>
        <w:rPr>
          <w:rStyle w:val="CharStyle29"/>
          <w:b/>
          <w:bCs/>
          <w:i/>
          <w:iCs/>
        </w:rPr>
        <w:t>DOTAÇÃO ORÇAMENTÁRIA; PROJETO ATIVIDADE:</w:t>
      </w:r>
      <w:r>
        <w:rPr>
          <w:rStyle w:val="CharStyle29"/>
        </w:rPr>
        <w:t xml:space="preserve"> 09.122.001.2.047, </w:t>
      </w:r>
      <w:r>
        <w:rPr>
          <w:rStyle w:val="CharStyle29"/>
          <w:b/>
          <w:bCs/>
          <w:i/>
          <w:iCs/>
        </w:rPr>
        <w:t>NATUREZA DE DESPESA:</w:t>
      </w:r>
      <w:r>
        <w:rPr>
          <w:rStyle w:val="CharStyle29"/>
        </w:rPr>
        <w:t xml:space="preserve"> 3.3.90.39.00.</w:t>
      </w:r>
    </w:p>
    <w:p>
      <w:pPr>
        <w:pStyle w:val="Style28"/>
        <w:keepNext w:val="0"/>
        <w:keepLines w:val="0"/>
        <w:widowControl w:val="0"/>
        <w:shd w:val="clear" w:color="auto" w:fill="auto"/>
        <w:bidi w:val="0"/>
        <w:spacing w:before="0" w:line="240" w:lineRule="auto"/>
        <w:ind w:left="0" w:right="0" w:firstLine="0"/>
        <w:jc w:val="both"/>
      </w:pPr>
      <w:r>
        <w:rPr>
          <w:rStyle w:val="CharStyle29"/>
        </w:rPr>
        <w:t xml:space="preserve">Fonte </w:t>
      </w:r>
      <w:r>
        <w:rPr>
          <w:rStyle w:val="CharStyle29"/>
          <w:b/>
          <w:bCs/>
          <w:i/>
          <w:iCs/>
        </w:rPr>
        <w:t>de Recursos: 802- PREV SOCIAL MUNICIPAL - RPPS.</w:t>
      </w:r>
    </w:p>
    <w:p>
      <w:pPr>
        <w:pStyle w:val="Style14"/>
        <w:keepNext w:val="0"/>
        <w:keepLines w:val="0"/>
        <w:widowControl w:val="0"/>
        <w:numPr>
          <w:ilvl w:val="1"/>
          <w:numId w:val="29"/>
        </w:numPr>
        <w:shd w:val="clear" w:color="auto" w:fill="auto"/>
        <w:tabs>
          <w:tab w:pos="546" w:val="left"/>
        </w:tabs>
        <w:bidi w:val="0"/>
        <w:spacing w:before="0" w:after="200"/>
        <w:ind w:left="0" w:right="0" w:firstLine="0"/>
        <w:jc w:val="both"/>
      </w:pPr>
      <w:r>
        <w:rPr>
          <w:rStyle w:val="CharStyle15"/>
          <w:i/>
          <w:iCs/>
          <w:lang w:val="pt-BR" w:eastAsia="pt-BR" w:bidi="pt-BR"/>
        </w:rPr>
        <w:t>A dotação relativa aos exercícios financeiros subsequentes será indicada após aprovação da Lei Orçamentária respectiva e liberação dos créditos correspondentes, mediante apostilamento.</w:t>
      </w:r>
    </w:p>
    <w:p>
      <w:pPr>
        <w:pStyle w:val="Style2"/>
        <w:keepNext/>
        <w:keepLines/>
        <w:widowControl w:val="0"/>
        <w:numPr>
          <w:ilvl w:val="0"/>
          <w:numId w:val="29"/>
        </w:numPr>
        <w:shd w:val="clear" w:color="auto" w:fill="auto"/>
        <w:tabs>
          <w:tab w:pos="426" w:val="left"/>
        </w:tabs>
        <w:bidi w:val="0"/>
        <w:spacing w:before="0" w:line="338" w:lineRule="auto"/>
        <w:ind w:left="0" w:right="0" w:firstLine="0"/>
        <w:jc w:val="left"/>
      </w:pPr>
      <w:bookmarkStart w:id="61" w:name="bookmark61"/>
      <w:r>
        <w:rPr>
          <w:rStyle w:val="CharStyle3"/>
          <w:b/>
          <w:bCs/>
        </w:rPr>
        <w:t>CLÁUSULA DÉCIMA TERCEIRA - DOS CASOS OMISSOS (art. 92, III)</w:t>
      </w:r>
      <w:bookmarkEnd w:id="61"/>
    </w:p>
    <w:p>
      <w:pPr>
        <w:pStyle w:val="Style14"/>
        <w:keepNext w:val="0"/>
        <w:keepLines w:val="0"/>
        <w:widowControl w:val="0"/>
        <w:numPr>
          <w:ilvl w:val="1"/>
          <w:numId w:val="29"/>
        </w:numPr>
        <w:shd w:val="clear" w:color="auto" w:fill="auto"/>
        <w:tabs>
          <w:tab w:pos="560" w:val="left"/>
        </w:tabs>
        <w:bidi w:val="0"/>
        <w:spacing w:before="0" w:after="200" w:line="338" w:lineRule="auto"/>
        <w:ind w:left="0" w:right="0" w:firstLine="0"/>
        <w:jc w:val="both"/>
      </w:pPr>
      <w:r>
        <w:rPr>
          <w:rStyle w:val="CharStyle15"/>
          <w:lang w:val="pt-BR" w:eastAsia="pt-BR" w:bidi="pt-BR"/>
        </w:rPr>
        <w:t xml:space="preserve">Os casos omissos serão decididos pelo </w:t>
      </w:r>
      <w:r>
        <w:rPr>
          <w:rStyle w:val="CharStyle15"/>
          <w:b/>
          <w:bCs/>
          <w:lang w:val="pt-BR" w:eastAsia="pt-BR" w:bidi="pt-BR"/>
        </w:rPr>
        <w:t xml:space="preserve">CONTRATANTE, </w:t>
      </w:r>
      <w:r>
        <w:rPr>
          <w:rStyle w:val="CharStyle15"/>
          <w:lang w:val="pt-BR" w:eastAsia="pt-BR" w:bidi="pt-BR"/>
        </w:rPr>
        <w:t>segundo as disposições contidas na Lei n° 14.133/2021, e demais normas federais aplicáveis e, subsidiariamente, segundo as disposições contidas na Lei n° 8.078/1990 - Código de Defesa do Consumidor - e normas e princípios gerais dos contratos.</w:t>
      </w:r>
    </w:p>
    <w:p>
      <w:pPr>
        <w:pStyle w:val="Style2"/>
        <w:keepNext/>
        <w:keepLines/>
        <w:widowControl w:val="0"/>
        <w:numPr>
          <w:ilvl w:val="0"/>
          <w:numId w:val="29"/>
        </w:numPr>
        <w:shd w:val="clear" w:color="auto" w:fill="auto"/>
        <w:tabs>
          <w:tab w:pos="421" w:val="left"/>
        </w:tabs>
        <w:bidi w:val="0"/>
        <w:spacing w:before="0" w:line="346" w:lineRule="auto"/>
        <w:ind w:left="0" w:right="0" w:firstLine="0"/>
        <w:jc w:val="both"/>
      </w:pPr>
      <w:bookmarkStart w:id="63" w:name="bookmark63"/>
      <w:r>
        <w:rPr>
          <w:rStyle w:val="CharStyle3"/>
          <w:b/>
          <w:bCs/>
        </w:rPr>
        <w:t>CLÁUSULA DÉCIMA QUARTA - ALTERAÇÕES</w:t>
      </w:r>
      <w:bookmarkEnd w:id="63"/>
    </w:p>
    <w:p>
      <w:pPr>
        <w:pStyle w:val="Style14"/>
        <w:keepNext w:val="0"/>
        <w:keepLines w:val="0"/>
        <w:widowControl w:val="0"/>
        <w:numPr>
          <w:ilvl w:val="1"/>
          <w:numId w:val="29"/>
        </w:numPr>
        <w:shd w:val="clear" w:color="auto" w:fill="auto"/>
        <w:tabs>
          <w:tab w:pos="560" w:val="left"/>
        </w:tabs>
        <w:bidi w:val="0"/>
        <w:spacing w:before="0" w:after="80" w:line="346" w:lineRule="auto"/>
        <w:ind w:left="0" w:right="0" w:firstLine="0"/>
        <w:jc w:val="both"/>
      </w:pPr>
      <w:r>
        <w:rPr>
          <w:rStyle w:val="CharStyle15"/>
          <w:lang w:val="pt-BR" w:eastAsia="pt-BR" w:bidi="pt-BR"/>
        </w:rPr>
        <w:t xml:space="preserve">Eventuais alterações contratuais </w:t>
      </w:r>
      <w:r>
        <w:rPr>
          <w:rStyle w:val="CharStyle15"/>
        </w:rPr>
        <w:t xml:space="preserve">reger-se-ão </w:t>
      </w:r>
      <w:r>
        <w:rPr>
          <w:rStyle w:val="CharStyle15"/>
          <w:lang w:val="pt-BR" w:eastAsia="pt-BR" w:bidi="pt-BR"/>
        </w:rPr>
        <w:t>pela disciplina dos arts. 124 e seguintes da Lei n° 14.133/2021.</w:t>
      </w:r>
    </w:p>
    <w:p>
      <w:pPr>
        <w:pStyle w:val="Style14"/>
        <w:keepNext w:val="0"/>
        <w:keepLines w:val="0"/>
        <w:widowControl w:val="0"/>
        <w:numPr>
          <w:ilvl w:val="1"/>
          <w:numId w:val="29"/>
        </w:numPr>
        <w:shd w:val="clear" w:color="auto" w:fill="auto"/>
        <w:tabs>
          <w:tab w:pos="589" w:val="left"/>
        </w:tabs>
        <w:bidi w:val="0"/>
        <w:spacing w:before="0" w:after="80" w:line="338" w:lineRule="auto"/>
        <w:ind w:left="0" w:right="0" w:firstLine="0"/>
        <w:jc w:val="both"/>
      </w:pPr>
      <w:r>
        <w:rPr>
          <w:rStyle w:val="CharStyle15"/>
          <w:lang w:val="pt-BR" w:eastAsia="pt-BR" w:bidi="pt-BR"/>
        </w:rPr>
        <w:t xml:space="preserve">O Contratado </w:t>
      </w:r>
      <w:r>
        <w:rPr>
          <w:rStyle w:val="CharStyle15"/>
          <w:i/>
          <w:iCs/>
          <w:lang w:val="pt-BR" w:eastAsia="pt-BR" w:bidi="pt-BR"/>
        </w:rPr>
        <w:t>é</w:t>
      </w:r>
      <w:r>
        <w:rPr>
          <w:rStyle w:val="CharStyle15"/>
          <w:lang w:val="pt-BR" w:eastAsia="pt-BR" w:bidi="pt-BR"/>
        </w:rPr>
        <w:t xml:space="preserve"> obrigado a aceitar, nas mesmas condições contratuais, os acréscimos ou supressões que se fizerem necessários, até o limite de 25% (vinte e cinco por cento) do valor inicial atualizado do contrato.</w:t>
      </w:r>
    </w:p>
    <w:p>
      <w:pPr>
        <w:pStyle w:val="Style14"/>
        <w:keepNext w:val="0"/>
        <w:keepLines w:val="0"/>
        <w:widowControl w:val="0"/>
        <w:numPr>
          <w:ilvl w:val="1"/>
          <w:numId w:val="29"/>
        </w:numPr>
        <w:shd w:val="clear" w:color="auto" w:fill="auto"/>
        <w:tabs>
          <w:tab w:pos="594" w:val="left"/>
        </w:tabs>
        <w:bidi w:val="0"/>
        <w:spacing w:before="0" w:after="80" w:line="331" w:lineRule="auto"/>
        <w:ind w:left="0" w:right="0" w:firstLine="0"/>
        <w:jc w:val="both"/>
        <w:sectPr>
          <w:footerReference w:type="default" r:id="rId35"/>
          <w:footerReference w:type="first" r:id="rId36"/>
          <w:footnotePr>
            <w:pos w:val="pageBottom"/>
            <w:numFmt w:val="decimal"/>
            <w:numRestart w:val="continuous"/>
          </w:footnotePr>
          <w:pgSz w:w="11909" w:h="17331"/>
          <w:pgMar w:top="171" w:right="1312" w:bottom="2579" w:left="1256" w:header="0" w:footer="3" w:gutter="0"/>
          <w:cols w:space="720"/>
          <w:noEndnote/>
          <w:titlePg/>
          <w:rtlGutter w:val="0"/>
          <w:docGrid w:linePitch="360"/>
        </w:sectPr>
      </w:pPr>
      <w:r>
        <w:rPr>
          <w:rStyle w:val="CharStyle15"/>
          <w:lang w:val="pt-BR" w:eastAsia="pt-BR" w:bidi="pt-BR"/>
        </w:rPr>
        <w:t>Registros que não caracterizam alteração do contrato podem ser realizados por simples apostila, dispensada a celebração de termo aditivo, na forma do art. 136 da Lei n° 14.133/2021.</w:t>
      </w:r>
    </w:p>
    <w:p>
      <w:pPr>
        <w:widowControl w:val="0"/>
        <w:jc w:val="center"/>
        <w:rPr>
          <w:sz w:val="2"/>
          <w:szCs w:val="2"/>
        </w:rPr>
      </w:pPr>
      <w:r>
        <w:drawing>
          <wp:inline>
            <wp:extent cx="768350" cy="786130"/>
            <wp:docPr id="59" name="Picutre 59"/>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37"/>
                    <a:stretch/>
                  </pic:blipFill>
                  <pic:spPr>
                    <a:xfrm>
                      <a:ext cx="768350" cy="786130"/>
                    </a:xfrm>
                    <a:prstGeom prst="rect"/>
                  </pic:spPr>
                </pic:pic>
              </a:graphicData>
            </a:graphic>
          </wp:inline>
        </w:drawing>
      </w:r>
    </w:p>
    <w:p>
      <w:pPr>
        <w:pStyle w:val="Style14"/>
        <w:keepNext w:val="0"/>
        <w:keepLines w:val="0"/>
        <w:widowControl w:val="0"/>
        <w:shd w:val="clear" w:color="auto" w:fill="auto"/>
        <w:bidi w:val="0"/>
        <w:spacing w:before="0" w:after="0" w:line="310" w:lineRule="auto"/>
        <w:ind w:left="0" w:right="0" w:firstLine="0"/>
        <w:jc w:val="center"/>
        <w:rPr>
          <w:sz w:val="22"/>
          <w:szCs w:val="22"/>
        </w:rPr>
      </w:pPr>
      <w:r>
        <w:rPr>
          <w:rStyle w:val="CharStyle15"/>
          <w:b/>
          <w:bCs/>
          <w:sz w:val="22"/>
          <w:szCs w:val="22"/>
          <w:lang w:val="pt-BR" w:eastAsia="pt-BR" w:bidi="pt-BR"/>
        </w:rPr>
        <w:t>BorbaPrev</w:t>
      </w:r>
    </w:p>
    <w:p>
      <w:pPr>
        <w:pStyle w:val="Style17"/>
        <w:keepNext/>
        <w:keepLines/>
        <w:widowControl w:val="0"/>
        <w:shd w:val="clear" w:color="auto" w:fill="auto"/>
        <w:bidi w:val="0"/>
        <w:spacing w:before="0" w:after="0" w:line="283" w:lineRule="auto"/>
        <w:ind w:left="0" w:right="0" w:firstLine="0"/>
        <w:jc w:val="center"/>
      </w:pPr>
      <w:bookmarkStart w:id="65" w:name="bookmark65"/>
      <w:r>
        <w:rPr>
          <w:rStyle w:val="CharStyle18"/>
          <w:b/>
          <w:bCs/>
          <w:lang w:val="pt-BR" w:eastAsia="pt-BR" w:bidi="pt-BR"/>
        </w:rPr>
        <w:t>FUNDO MUNICIPAL DE PREVIDÊNCIA SOCIAL DE BORBA-AM</w:t>
      </w:r>
      <w:bookmarkEnd w:id="65"/>
    </w:p>
    <w:p>
      <w:pPr>
        <w:pStyle w:val="Style2"/>
        <w:keepNext/>
        <w:keepLines/>
        <w:widowControl w:val="0"/>
        <w:numPr>
          <w:ilvl w:val="0"/>
          <w:numId w:val="29"/>
        </w:numPr>
        <w:shd w:val="clear" w:color="auto" w:fill="auto"/>
        <w:tabs>
          <w:tab w:pos="435" w:val="left"/>
        </w:tabs>
        <w:bidi w:val="0"/>
        <w:spacing w:before="0" w:after="60" w:line="341" w:lineRule="auto"/>
        <w:ind w:left="0" w:right="0" w:firstLine="0"/>
        <w:jc w:val="left"/>
      </w:pPr>
      <w:bookmarkStart w:id="67" w:name="bookmark67"/>
      <w:r>
        <w:rPr>
          <w:rStyle w:val="CharStyle3"/>
          <w:b/>
          <w:bCs/>
        </w:rPr>
        <w:t>CLÁUSULA DÉCIMA QUINTA - PUBLICAÇÃO</w:t>
      </w:r>
      <w:bookmarkEnd w:id="67"/>
    </w:p>
    <w:p>
      <w:pPr>
        <w:pStyle w:val="Style14"/>
        <w:keepNext w:val="0"/>
        <w:keepLines w:val="0"/>
        <w:widowControl w:val="0"/>
        <w:numPr>
          <w:ilvl w:val="1"/>
          <w:numId w:val="29"/>
        </w:numPr>
        <w:shd w:val="clear" w:color="auto" w:fill="auto"/>
        <w:tabs>
          <w:tab w:pos="574" w:val="left"/>
        </w:tabs>
        <w:bidi w:val="0"/>
        <w:spacing w:before="0" w:after="220" w:line="341" w:lineRule="auto"/>
        <w:ind w:left="0" w:right="0" w:firstLine="0"/>
        <w:jc w:val="left"/>
      </w:pPr>
      <w:r>
        <w:rPr>
          <w:rStyle w:val="CharStyle15"/>
          <w:lang w:val="pt-BR" w:eastAsia="pt-BR" w:bidi="pt-BR"/>
        </w:rPr>
        <w:t>Incumbirá ao Contratante providenciar a publicação deste instrumento nos termos e condições previstas na Lei n° 14.133/2021.</w:t>
      </w:r>
    </w:p>
    <w:p>
      <w:pPr>
        <w:pStyle w:val="Style2"/>
        <w:keepNext/>
        <w:keepLines/>
        <w:widowControl w:val="0"/>
        <w:numPr>
          <w:ilvl w:val="0"/>
          <w:numId w:val="29"/>
        </w:numPr>
        <w:shd w:val="clear" w:color="auto" w:fill="auto"/>
        <w:tabs>
          <w:tab w:pos="423" w:val="left"/>
        </w:tabs>
        <w:bidi w:val="0"/>
        <w:spacing w:before="0" w:after="60" w:line="341" w:lineRule="auto"/>
        <w:ind w:left="0" w:right="0" w:firstLine="0"/>
        <w:jc w:val="left"/>
      </w:pPr>
      <w:bookmarkStart w:id="69" w:name="bookmark69"/>
      <w:r>
        <w:rPr>
          <w:rStyle w:val="CharStyle3"/>
          <w:b/>
          <w:bCs/>
        </w:rPr>
        <w:t>CLÁUSULA DÉCIMA SEXTA - FORO (art. 92, §1°)</w:t>
      </w:r>
      <w:bookmarkEnd w:id="69"/>
    </w:p>
    <w:p>
      <w:pPr>
        <w:pStyle w:val="Style14"/>
        <w:keepNext w:val="0"/>
        <w:keepLines w:val="0"/>
        <w:widowControl w:val="0"/>
        <w:numPr>
          <w:ilvl w:val="1"/>
          <w:numId w:val="29"/>
        </w:numPr>
        <w:shd w:val="clear" w:color="auto" w:fill="auto"/>
        <w:tabs>
          <w:tab w:pos="568" w:val="left"/>
        </w:tabs>
        <w:bidi w:val="0"/>
        <w:spacing w:before="0" w:after="120" w:line="341" w:lineRule="auto"/>
        <w:ind w:left="0" w:right="0" w:firstLine="0"/>
        <w:jc w:val="left"/>
      </w:pPr>
      <w:r>
        <w:rPr>
          <w:rStyle w:val="CharStyle15"/>
          <w:lang w:val="pt-BR" w:eastAsia="pt-BR" w:bidi="pt-BR"/>
        </w:rPr>
        <w:t>É eleito o Foro da Comarca de Borba/AM para dirimir os litígios que decorrerem da execução deste Termo de Contrato que não possam ser compostos pela conciliação, conforme art. 92, §1° da Lei n° 14.133/2021.</w:t>
      </w:r>
    </w:p>
    <w:p>
      <w:pPr>
        <w:pStyle w:val="Style14"/>
        <w:keepNext w:val="0"/>
        <w:keepLines w:val="0"/>
        <w:widowControl w:val="0"/>
        <w:shd w:val="clear" w:color="auto" w:fill="auto"/>
        <w:bidi w:val="0"/>
        <w:spacing w:before="0" w:after="1460" w:line="240" w:lineRule="auto"/>
        <w:ind w:left="0" w:right="0" w:firstLine="0"/>
        <w:jc w:val="right"/>
      </w:pPr>
      <w:r>
        <w:rPr>
          <w:rStyle w:val="CharStyle15"/>
          <w:lang w:val="pt-BR" w:eastAsia="pt-BR" w:bidi="pt-BR"/>
        </w:rPr>
        <w:t>Borba-Am, 08 de setembro de 2026.</w:t>
      </w:r>
    </w:p>
    <w:p>
      <w:pPr>
        <w:pStyle w:val="Style14"/>
        <w:keepNext w:val="0"/>
        <w:keepLines w:val="0"/>
        <w:widowControl w:val="0"/>
        <w:shd w:val="clear" w:color="auto" w:fill="auto"/>
        <w:tabs>
          <w:tab w:leader="dot" w:pos="386" w:val="left"/>
        </w:tabs>
        <w:bidi w:val="0"/>
        <w:spacing w:before="0" w:after="0" w:line="240" w:lineRule="auto"/>
        <w:ind w:left="0" w:right="0" w:firstLine="0"/>
        <w:jc w:val="center"/>
      </w:pPr>
      <w:r>
        <w:rPr>
          <w:rStyle w:val="CharStyle15"/>
          <w:u w:val="single"/>
          <w:lang w:val="pt-BR" w:eastAsia="pt-BR" w:bidi="pt-BR"/>
        </w:rPr>
        <w:tab/>
      </w:r>
    </w:p>
    <w:p>
      <w:pPr>
        <w:pStyle w:val="Style14"/>
        <w:keepNext w:val="0"/>
        <w:keepLines w:val="0"/>
        <w:widowControl w:val="0"/>
        <w:shd w:val="clear" w:color="auto" w:fill="auto"/>
        <w:bidi w:val="0"/>
        <w:spacing w:before="0" w:after="1200" w:line="295" w:lineRule="auto"/>
        <w:ind w:left="0" w:right="0" w:firstLine="0"/>
        <w:jc w:val="center"/>
      </w:pPr>
      <w:r>
        <w:rPr>
          <w:rStyle w:val="CharStyle15"/>
          <w:b/>
          <w:bCs/>
          <w:lang w:val="pt-BR" w:eastAsia="pt-BR" w:bidi="pt-BR"/>
        </w:rPr>
        <w:t>MATEUS DA FONSECA NUNES</w:t>
        <w:br/>
        <w:t>PRESIDENTE DO BORBAPREV</w:t>
        <w:br/>
      </w:r>
      <w:r>
        <w:rPr>
          <w:rStyle w:val="CharStyle15"/>
          <w:lang w:val="pt-BR" w:eastAsia="pt-BR" w:bidi="pt-BR"/>
        </w:rPr>
        <w:t>CONTRATAN/E</w:t>
      </w:r>
    </w:p>
    <w:p>
      <w:pPr>
        <w:pStyle w:val="Style32"/>
        <w:keepNext w:val="0"/>
        <w:keepLines w:val="0"/>
        <w:widowControl w:val="0"/>
        <w:shd w:val="clear" w:color="auto" w:fill="auto"/>
        <w:bidi w:val="0"/>
        <w:spacing w:before="0" w:line="240" w:lineRule="auto"/>
        <w:ind w:left="0" w:right="0" w:firstLine="0"/>
        <w:jc w:val="center"/>
      </w:pPr>
      <w:r>
        <w:rPr>
          <w:rStyle w:val="CharStyle33"/>
          <w:smallCaps/>
        </w:rPr>
        <w:t>•A</w:t>
      </w:r>
      <w:r>
        <w:rPr>
          <w:rStyle w:val="CharStyle33"/>
          <w:smallCaps/>
          <w:vertAlign w:val="superscript"/>
        </w:rPr>
        <w:t>/</w:t>
      </w:r>
      <w:r>
        <w:rPr>
          <w:rStyle w:val="CharStyle33"/>
          <w:smallCaps/>
        </w:rPr>
        <w:t>\Z1aàÃ\5</w:t>
      </w:r>
    </w:p>
    <w:p>
      <w:pPr>
        <w:pStyle w:val="Style2"/>
        <w:keepNext/>
        <w:keepLines/>
        <w:widowControl w:val="0"/>
        <w:shd w:val="clear" w:color="auto" w:fill="auto"/>
        <w:bidi w:val="0"/>
        <w:spacing w:before="0" w:after="0" w:line="295" w:lineRule="auto"/>
        <w:ind w:left="0" w:right="0" w:firstLine="0"/>
        <w:jc w:val="center"/>
      </w:pPr>
      <w:bookmarkStart w:id="71" w:name="bookmark71"/>
      <w:r>
        <w:rPr>
          <w:rStyle w:val="CharStyle3"/>
          <w:b/>
          <w:bCs/>
        </w:rPr>
        <w:t>BARBARA FERNANDES DE ARAÚJO</w:t>
        <w:br/>
        <w:t>CNPJ: 37.385.236/0001-01</w:t>
      </w:r>
      <w:bookmarkEnd w:id="71"/>
    </w:p>
    <w:p>
      <w:pPr>
        <w:pStyle w:val="Style14"/>
        <w:keepNext w:val="0"/>
        <w:keepLines w:val="0"/>
        <w:widowControl w:val="0"/>
        <w:shd w:val="clear" w:color="auto" w:fill="auto"/>
        <w:bidi w:val="0"/>
        <w:spacing w:before="0" w:line="295" w:lineRule="auto"/>
        <w:ind w:left="0" w:right="0" w:firstLine="0"/>
        <w:jc w:val="center"/>
      </w:pPr>
      <w:r>
        <w:rPr>
          <w:rStyle w:val="CharStyle15"/>
          <w:lang w:val="pt-BR" w:eastAsia="pt-BR" w:bidi="pt-BR"/>
        </w:rPr>
        <w:t>CONTRATADA</w:t>
      </w:r>
    </w:p>
    <w:sectPr>
      <w:footerReference w:type="default" r:id="rId39"/>
      <w:footnotePr>
        <w:pos w:val="pageBottom"/>
        <w:numFmt w:val="decimal"/>
        <w:numRestart w:val="continuous"/>
      </w:footnotePr>
      <w:type w:val="continuous"/>
      <w:pgSz w:w="11909" w:h="17331"/>
      <w:pgMar w:top="171" w:right="1312" w:bottom="2579" w:left="125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1905635</wp:posOffset>
              </wp:positionH>
              <wp:positionV relativeFrom="page">
                <wp:posOffset>9431020</wp:posOffset>
              </wp:positionV>
              <wp:extent cx="4104640" cy="607060"/>
              <wp:wrapNone/>
              <wp:docPr id="28" name="Shape 28"/>
              <a:graphic xmlns:a="http://schemas.openxmlformats.org/drawingml/2006/main">
                <a:graphicData uri="http://schemas.microsoft.com/office/word/2010/wordprocessingShape">
                  <wps:wsp>
                    <wps:cNvSpPr txBox="1"/>
                    <wps:spPr>
                      <a:xfrm>
                        <a:ext cx="4104640" cy="6070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https//borbaprev.transparencia-am.com.br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wps:txbx>
                    <wps:bodyPr wrap="none" lIns="0" tIns="0" rIns="0" bIns="0">
                      <a:spAutoFit/>
                    </wps:bodyPr>
                  </wps:wsp>
                </a:graphicData>
              </a:graphic>
            </wp:anchor>
          </w:drawing>
        </mc:Choice>
        <mc:Fallback>
          <w:pict>
            <v:shape id="_x0000_s1054" type="#_x0000_t202" style="position:absolute;margin-left:150.05000000000001pt;margin-top:742.60000000000002pt;width:323.19999999999999pt;height:47.8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https//borbaprev.transparencia-am.com.br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3129280</wp:posOffset>
              </wp:positionH>
              <wp:positionV relativeFrom="page">
                <wp:posOffset>9469120</wp:posOffset>
              </wp:positionV>
              <wp:extent cx="52070" cy="100330"/>
              <wp:wrapNone/>
              <wp:docPr id="30" name="Shape 30"/>
              <a:graphic xmlns:a="http://schemas.openxmlformats.org/drawingml/2006/main">
                <a:graphicData uri="http://schemas.microsoft.com/office/word/2010/wordprocessingShape">
                  <wps:wsp>
                    <wps:cNvSpPr txBox="1"/>
                    <wps:spPr>
                      <a:xfrm>
                        <a:ext cx="52070" cy="100330"/>
                      </a:xfrm>
                      <a:prstGeom prst="rect"/>
                      <a:noFill/>
                    </wps:spPr>
                    <wps:txbx>
                      <w:txbxContent>
                        <w:p>
                          <w:pPr>
                            <w:widowControl w:val="0"/>
                          </w:pPr>
                        </w:p>
                      </w:txbxContent>
                    </wps:txbx>
                    <wps:bodyPr wrap="none" lIns="0" tIns="0" rIns="0" bIns="0">
                      <a:spAutoFit/>
                    </wps:bodyPr>
                  </wps:wsp>
                </a:graphicData>
              </a:graphic>
            </wp:anchor>
          </w:drawing>
        </mc:Choice>
        <mc:Fallback>
          <w:pict>
            <v:shape id="_x0000_s1056" type="#_x0000_t202" style="position:absolute;margin-left:246.40000000000001pt;margin-top:745.60000000000002pt;width:4.0999999999999996pt;height:7.9000000000000004pt;z-index:-18874406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1914525</wp:posOffset>
              </wp:positionH>
              <wp:positionV relativeFrom="page">
                <wp:posOffset>9431020</wp:posOffset>
              </wp:positionV>
              <wp:extent cx="4099560" cy="603250"/>
              <wp:wrapNone/>
              <wp:docPr id="42" name="Shape 42"/>
              <a:graphic xmlns:a="http://schemas.openxmlformats.org/drawingml/2006/main">
                <a:graphicData uri="http://schemas.microsoft.com/office/word/2010/wordprocessingShape">
                  <wps:wsp>
                    <wps:cNvSpPr txBox="1"/>
                    <wps:spPr>
                      <a:xfrm>
                        <a:ext cx="4099560" cy="603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https//borbaprev.tra </w:t>
                          </w:r>
                          <w:r>
                            <w:rPr>
                              <w:rStyle w:val="CharStyle13"/>
                              <w:rFonts w:ascii="Arial" w:eastAsia="Arial" w:hAnsi="Arial" w:cs="Arial"/>
                              <w:sz w:val="19"/>
                              <w:szCs w:val="19"/>
                              <w:lang w:val="en-US" w:eastAsia="en-US" w:bidi="en-US"/>
                            </w:rPr>
                            <w:t xml:space="preserve">nsparencia-am.com. </w:t>
                          </w:r>
                          <w:r>
                            <w:rPr>
                              <w:rStyle w:val="CharStyle13"/>
                              <w:rFonts w:ascii="Arial" w:eastAsia="Arial" w:hAnsi="Arial" w:cs="Arial"/>
                              <w:sz w:val="19"/>
                              <w:szCs w:val="19"/>
                            </w:rPr>
                            <w:t>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wps:txbx>
                    <wps:bodyPr wrap="none" lIns="0" tIns="0" rIns="0" bIns="0">
                      <a:spAutoFit/>
                    </wps:bodyPr>
                  </wps:wsp>
                </a:graphicData>
              </a:graphic>
            </wp:anchor>
          </w:drawing>
        </mc:Choice>
        <mc:Fallback>
          <w:pict>
            <v:shape id="_x0000_s1068" type="#_x0000_t202" style="position:absolute;margin-left:150.75pt;margin-top:742.60000000000002pt;width:322.80000000000001pt;height:47.5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https//borbaprev.tra </w:t>
                    </w:r>
                    <w:r>
                      <w:rPr>
                        <w:rStyle w:val="CharStyle13"/>
                        <w:rFonts w:ascii="Arial" w:eastAsia="Arial" w:hAnsi="Arial" w:cs="Arial"/>
                        <w:sz w:val="19"/>
                        <w:szCs w:val="19"/>
                        <w:lang w:val="en-US" w:eastAsia="en-US" w:bidi="en-US"/>
                      </w:rPr>
                      <w:t xml:space="preserve">nsparencia-am.com. </w:t>
                    </w:r>
                    <w:r>
                      <w:rPr>
                        <w:rStyle w:val="CharStyle13"/>
                        <w:rFonts w:ascii="Arial" w:eastAsia="Arial" w:hAnsi="Arial" w:cs="Arial"/>
                        <w:sz w:val="19"/>
                        <w:szCs w:val="19"/>
                      </w:rPr>
                      <w:t>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6157595</wp:posOffset>
              </wp:positionH>
              <wp:positionV relativeFrom="page">
                <wp:posOffset>9552940</wp:posOffset>
              </wp:positionV>
              <wp:extent cx="1090930" cy="1347470"/>
              <wp:wrapNone/>
              <wp:docPr id="44" name="Shape 44"/>
              <a:graphic xmlns:a="http://schemas.openxmlformats.org/drawingml/2006/main">
                <a:graphicData uri="http://schemas.microsoft.com/office/word/2010/wordprocessingShape">
                  <wps:wsp>
                    <wps:cNvSpPr txBox="1"/>
                    <wps:spPr>
                      <a:xfrm>
                        <a:ext cx="1090930" cy="1347470"/>
                      </a:xfrm>
                      <a:prstGeom prst="rect"/>
                      <a:noFill/>
                    </wps:spPr>
                    <wps:txbx>
                      <w:txbxContent>
                        <w:p>
                          <w:pPr>
                            <w:widowControl w:val="0"/>
                            <w:rPr>
                              <w:sz w:val="2"/>
                              <w:szCs w:val="2"/>
                            </w:rPr>
                          </w:pPr>
                          <w:r>
                            <w:drawing>
                              <wp:inline>
                                <wp:extent cx="1090930" cy="1347470"/>
                                <wp:docPr id="45" name="Picutre 45"/>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pic:blipFill>
                                      <pic:spPr>
                                        <a:xfrm>
                                          <a:ext cx="1090930" cy="1347470"/>
                                        </a:xfrm>
                                        <a:prstGeom prst="rect"/>
                                      </pic:spPr>
                                    </pic:pic>
                                  </a:graphicData>
                                </a:graphic>
                              </wp:inline>
                            </w:drawing>
                          </w:r>
                        </w:p>
                      </w:txbxContent>
                    </wps:txbx>
                    <wps:bodyPr lIns="0" tIns="0" rIns="0" bIns="0">
                      <a:noAutoFit/>
                    </wps:bodyPr>
                  </wps:wsp>
                </a:graphicData>
              </a:graphic>
            </wp:anchor>
          </w:drawing>
        </mc:Choice>
        <mc:Fallback>
          <w:pict>
            <v:shape id="_x0000_s1071" type="#_x0000_t202" style="position:absolute;margin-left:484.85000000000002pt;margin-top:752.20000000000005pt;width:85.900000000000006pt;height:106.10000000000001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1090930" cy="1347470"/>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
                                  <a:stretch/>
                                </pic:blipFill>
                                <pic:spPr>
                                  <a:xfrm>
                                    <a:ext cx="1090930" cy="1347470"/>
                                  </a:xfrm>
                                  <a:prstGeom prst="rect"/>
                                </pic:spPr>
                              </pic:pic>
                            </a:graphicData>
                          </a:graphic>
                        </wp:inline>
                      </w:drawing>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1914525</wp:posOffset>
              </wp:positionH>
              <wp:positionV relativeFrom="page">
                <wp:posOffset>9431020</wp:posOffset>
              </wp:positionV>
              <wp:extent cx="4099560" cy="603250"/>
              <wp:wrapNone/>
              <wp:docPr id="53" name="Shape 53"/>
              <a:graphic xmlns:a="http://schemas.openxmlformats.org/drawingml/2006/main">
                <a:graphicData uri="http://schemas.microsoft.com/office/word/2010/wordprocessingShape">
                  <wps:wsp>
                    <wps:cNvSpPr txBox="1"/>
                    <wps:spPr>
                      <a:xfrm>
                        <a:ext cx="4099560" cy="603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https//borbaprev.tra </w:t>
                          </w:r>
                          <w:r>
                            <w:rPr>
                              <w:rStyle w:val="CharStyle13"/>
                              <w:rFonts w:ascii="Arial" w:eastAsia="Arial" w:hAnsi="Arial" w:cs="Arial"/>
                              <w:sz w:val="19"/>
                              <w:szCs w:val="19"/>
                              <w:lang w:val="en-US" w:eastAsia="en-US" w:bidi="en-US"/>
                            </w:rPr>
                            <w:t xml:space="preserve">nsparencia-am.com. </w:t>
                          </w:r>
                          <w:r>
                            <w:rPr>
                              <w:rStyle w:val="CharStyle13"/>
                              <w:rFonts w:ascii="Arial" w:eastAsia="Arial" w:hAnsi="Arial" w:cs="Arial"/>
                              <w:sz w:val="19"/>
                              <w:szCs w:val="19"/>
                            </w:rPr>
                            <w:t>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wps:txbx>
                    <wps:bodyPr wrap="none" lIns="0" tIns="0" rIns="0" bIns="0">
                      <a:spAutoFit/>
                    </wps:bodyPr>
                  </wps:wsp>
                </a:graphicData>
              </a:graphic>
            </wp:anchor>
          </w:drawing>
        </mc:Choice>
        <mc:Fallback>
          <w:pict>
            <v:shape id="_x0000_s1079" type="#_x0000_t202" style="position:absolute;margin-left:150.75pt;margin-top:742.60000000000002pt;width:322.80000000000001pt;height:47.5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https//borbaprev.tra </w:t>
                    </w:r>
                    <w:r>
                      <w:rPr>
                        <w:rStyle w:val="CharStyle13"/>
                        <w:rFonts w:ascii="Arial" w:eastAsia="Arial" w:hAnsi="Arial" w:cs="Arial"/>
                        <w:sz w:val="19"/>
                        <w:szCs w:val="19"/>
                        <w:lang w:val="en-US" w:eastAsia="en-US" w:bidi="en-US"/>
                      </w:rPr>
                      <w:t xml:space="preserve">nsparencia-am.com. </w:t>
                    </w:r>
                    <w:r>
                      <w:rPr>
                        <w:rStyle w:val="CharStyle13"/>
                        <w:rFonts w:ascii="Arial" w:eastAsia="Arial" w:hAnsi="Arial" w:cs="Arial"/>
                        <w:sz w:val="19"/>
                        <w:szCs w:val="19"/>
                      </w:rPr>
                      <w:t>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6157595</wp:posOffset>
              </wp:positionH>
              <wp:positionV relativeFrom="page">
                <wp:posOffset>9552940</wp:posOffset>
              </wp:positionV>
              <wp:extent cx="1090930" cy="1347470"/>
              <wp:wrapNone/>
              <wp:docPr id="55" name="Shape 55"/>
              <a:graphic xmlns:a="http://schemas.openxmlformats.org/drawingml/2006/main">
                <a:graphicData uri="http://schemas.microsoft.com/office/word/2010/wordprocessingShape">
                  <wps:wsp>
                    <wps:cNvSpPr txBox="1"/>
                    <wps:spPr>
                      <a:xfrm>
                        <a:ext cx="1090930" cy="1347470"/>
                      </a:xfrm>
                      <a:prstGeom prst="rect"/>
                      <a:noFill/>
                    </wps:spPr>
                    <wps:txbx>
                      <w:txbxContent>
                        <w:p>
                          <w:pPr>
                            <w:widowControl w:val="0"/>
                            <w:rPr>
                              <w:sz w:val="2"/>
                              <w:szCs w:val="2"/>
                            </w:rPr>
                          </w:pPr>
                          <w:r>
                            <w:drawing>
                              <wp:inline>
                                <wp:extent cx="1090930" cy="134747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1090930" cy="1347470"/>
                                        </a:xfrm>
                                        <a:prstGeom prst="rect"/>
                                      </pic:spPr>
                                    </pic:pic>
                                  </a:graphicData>
                                </a:graphic>
                              </wp:inline>
                            </w:drawing>
                          </w:r>
                        </w:p>
                      </w:txbxContent>
                    </wps:txbx>
                    <wps:bodyPr lIns="0" tIns="0" rIns="0" bIns="0">
                      <a:noAutoFit/>
                    </wps:bodyPr>
                  </wps:wsp>
                </a:graphicData>
              </a:graphic>
            </wp:anchor>
          </w:drawing>
        </mc:Choice>
        <mc:Fallback>
          <w:pict>
            <v:shape id="_x0000_s1082" type="#_x0000_t202" style="position:absolute;margin-left:484.85000000000002pt;margin-top:752.20000000000005pt;width:85.900000000000006pt;height:106.10000000000001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1090930" cy="134747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1090930" cy="1347470"/>
                                  </a:xfrm>
                                  <a:prstGeom prst="rect"/>
                                </pic:spPr>
                              </pic:pic>
                            </a:graphicData>
                          </a:graphic>
                        </wp:inline>
                      </w:drawing>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1905635</wp:posOffset>
              </wp:positionH>
              <wp:positionV relativeFrom="page">
                <wp:posOffset>9431020</wp:posOffset>
              </wp:positionV>
              <wp:extent cx="4104640" cy="607060"/>
              <wp:wrapNone/>
              <wp:docPr id="60" name="Shape 60"/>
              <a:graphic xmlns:a="http://schemas.openxmlformats.org/drawingml/2006/main">
                <a:graphicData uri="http://schemas.microsoft.com/office/word/2010/wordprocessingShape">
                  <wps:wsp>
                    <wps:cNvSpPr txBox="1"/>
                    <wps:spPr>
                      <a:xfrm>
                        <a:ext cx="4104640" cy="6070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https//borbaprev.transparencia-am.com.br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wps:txbx>
                    <wps:bodyPr wrap="none" lIns="0" tIns="0" rIns="0" bIns="0">
                      <a:spAutoFit/>
                    </wps:bodyPr>
                  </wps:wsp>
                </a:graphicData>
              </a:graphic>
            </wp:anchor>
          </w:drawing>
        </mc:Choice>
        <mc:Fallback>
          <w:pict>
            <v:shape id="_x0000_s1086" type="#_x0000_t202" style="position:absolute;margin-left:150.05000000000001pt;margin-top:742.60000000000002pt;width:323.19999999999999pt;height:47.800000000000004pt;z-index:-18874405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Travessa Jose Muniz de Castro, S/N, Cristo Rei- CEP:69.200-000/Borba-AM.</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Fone: (92)99602-0911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https//borbaprev.transparencia-am.com.br</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Arial" w:eastAsia="Arial" w:hAnsi="Arial" w:cs="Arial"/>
                        <w:sz w:val="19"/>
                        <w:szCs w:val="19"/>
                      </w:rPr>
                      <w:t xml:space="preserve">e-mail: </w:t>
                    </w:r>
                    <w:r>
                      <w:rPr>
                        <w:rStyle w:val="CharStyle13"/>
                        <w:rFonts w:ascii="Arial" w:eastAsia="Arial" w:hAnsi="Arial" w:cs="Arial"/>
                        <w:sz w:val="19"/>
                        <w:szCs w:val="19"/>
                        <w:lang w:val="en-US" w:eastAsia="en-US" w:bidi="en-US"/>
                      </w:rPr>
                      <w:t>rpps@borbaprev.com</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3">
      <w:start w:val="1"/>
      <w:numFmt w:val="decimal"/>
      <w:lvlText w:val="%1.%2.%3.%4."/>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4">
    <w:multiLevelType w:val="multilevel"/>
    <w:lvl w:ilvl="0">
      <w:start w:val="1"/>
      <w:numFmt w:val="decimal"/>
      <w:lvlText w:val="%1."/>
      <w:rPr>
        <w:rFonts w:ascii="Arial" w:eastAsia="Arial" w:hAnsi="Arial" w:cs="Arial"/>
        <w:b/>
        <w:bCs/>
        <w:i/>
        <w:iCs/>
        <w:smallCaps w:val="0"/>
        <w:strike w:val="0"/>
        <w:color w:val="000000"/>
        <w:spacing w:val="0"/>
        <w:w w:val="100"/>
        <w:position w:val="0"/>
        <w:sz w:val="20"/>
        <w:szCs w:val="20"/>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
    <w:multiLevelType w:val="multilevel"/>
    <w:lvl w:ilvl="0">
      <w:start w:val="4"/>
      <w:numFmt w:val="decimal"/>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
    <w:multiLevelType w:val="multilevel"/>
    <w:lvl w:ilvl="0">
      <w:start w:val="8"/>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3">
      <w:start w:val="1"/>
      <w:numFmt w:val="decimal"/>
      <w:lvlText w:val="%1.%2.%3.%4."/>
    </w:lvl>
  </w:abstractNum>
  <w:abstractNum w:abstractNumId="1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2">
    <w:multiLevelType w:val="multilevel"/>
    <w:lvl w:ilvl="0">
      <w:start w:val="1"/>
      <w:numFmt w:val="lowerLetter"/>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1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18">
    <w:multiLevelType w:val="multilevel"/>
    <w:lvl w:ilvl="0">
      <w:start w:val="10"/>
      <w:numFmt w:val="decimal"/>
      <w:lvlText w:val="%1."/>
    </w:lvl>
    <w:lvl w:ilvl="1">
      <w:start w:val="2"/>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2">
      <w:start w:val="1"/>
      <w:numFmt w:val="decimal"/>
      <w:lvlText w:val="%1.%2.%3."/>
    </w:lvl>
    <w:lvl w:ilvl="3">
      <w:start w:val="1"/>
      <w:numFmt w:val="decimal"/>
      <w:lvlText w:val="%1.%2.%3.%4."/>
    </w:lvl>
  </w:abstractNum>
  <w:abstractNum w:abstractNumId="20">
    <w:multiLevelType w:val="multilevel"/>
    <w:lvl w:ilvl="0">
      <w:start w:val="10"/>
      <w:numFmt w:val="decimal"/>
      <w:lvlText w:val="%1."/>
    </w:lvl>
    <w:lvl w:ilvl="1">
      <w:start w:val="2"/>
      <w:numFmt w:val="decimal"/>
      <w:lvlText w:val="%1.%2."/>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3">
      <w:start w:val="1"/>
      <w:numFmt w:val="decimal"/>
      <w:lvlText w:val="%1.%2.%3.%4."/>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2">
    <w:multiLevelType w:val="multilevel"/>
    <w:lvl w:ilvl="0">
      <w:start w:val="10"/>
      <w:numFmt w:val="decimal"/>
      <w:lvlText w:val="%1."/>
    </w:lvl>
    <w:lvl w:ilvl="1">
      <w:start w:val="3"/>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3">
      <w:start w:val="1"/>
      <w:numFmt w:val="decimal"/>
      <w:lvlText w:val="%1.%2.%3.%4."/>
    </w:lvl>
  </w:abstractNum>
  <w:abstractNum w:abstractNumId="24">
    <w:multiLevelType w:val="multilevel"/>
    <w:lvl w:ilvl="0">
      <w:start w:val="10"/>
      <w:numFmt w:val="decimal"/>
      <w:lvlText w:val="%1."/>
    </w:lvl>
    <w:lvl w:ilvl="1">
      <w:start w:val="3"/>
      <w:numFmt w:val="decimal"/>
      <w:lvlText w:val="%1.%2."/>
    </w:lvl>
    <w:lvl w:ilvl="2">
      <w:start w:val="4"/>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3">
      <w:start w:val="1"/>
      <w:numFmt w:val="decimal"/>
      <w:lvlText w:val="%1.%2.%3.%4."/>
    </w:lvl>
  </w:abstractNum>
  <w:abstractNum w:abstractNumId="26">
    <w:multiLevelType w:val="multilevel"/>
    <w:lvl w:ilvl="0">
      <w:start w:val="10"/>
      <w:numFmt w:val="decimal"/>
      <w:lvlText w:val="%1."/>
    </w:lvl>
    <w:lvl w:ilvl="1">
      <w:start w:val="4"/>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2">
      <w:start w:val="1"/>
      <w:numFmt w:val="decimal"/>
      <w:lvlText w:val="%1.%2.%3."/>
    </w:lvl>
    <w:lvl w:ilvl="3">
      <w:start w:val="1"/>
      <w:numFmt w:val="decimal"/>
      <w:lvlText w:val="%1.%2.%3.%4."/>
    </w:lvl>
  </w:abstractNum>
  <w:abstractNum w:abstractNumId="28">
    <w:multiLevelType w:val="multilevel"/>
    <w:lvl w:ilvl="0">
      <w:start w:val="1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lvl w:ilvl="2">
      <w:start w:val="1"/>
      <w:numFmt w:val="decimal"/>
      <w:lvlText w:val="%1.%2.%3."/>
    </w:lvl>
    <w:lvl w:ilvl="3">
      <w:start w:val="1"/>
      <w:numFmt w:val="decimal"/>
      <w:lvlText w:val="%1.%2.%3.%4."/>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3|1_"/>
    <w:basedOn w:val="DefaultParagraphFont"/>
    <w:link w:val="Style2"/>
    <w:rPr>
      <w:rFonts w:ascii="Arial" w:eastAsia="Arial" w:hAnsi="Arial" w:cs="Arial"/>
      <w:b/>
      <w:bCs/>
      <w:i w:val="0"/>
      <w:iCs w:val="0"/>
      <w:smallCaps w:val="0"/>
      <w:strike w:val="0"/>
      <w:sz w:val="20"/>
      <w:szCs w:val="20"/>
      <w:u w:val="none"/>
      <w:lang w:val="pt-BR" w:eastAsia="pt-BR" w:bidi="pt-BR"/>
    </w:rPr>
  </w:style>
  <w:style w:type="character" w:customStyle="1" w:styleId="CharStyle5">
    <w:name w:val="Body text|3_"/>
    <w:basedOn w:val="DefaultParagraphFont"/>
    <w:link w:val="Style4"/>
    <w:rPr>
      <w:b w:val="0"/>
      <w:bCs w:val="0"/>
      <w:i w:val="0"/>
      <w:iCs w:val="0"/>
      <w:smallCaps w:val="0"/>
      <w:strike w:val="0"/>
      <w:sz w:val="20"/>
      <w:szCs w:val="20"/>
      <w:u w:val="none"/>
      <w:lang w:val="pt-BR" w:eastAsia="pt-BR" w:bidi="pt-BR"/>
    </w:rPr>
  </w:style>
  <w:style w:type="character" w:customStyle="1" w:styleId="CharStyle8">
    <w:name w:val="Body text|2_"/>
    <w:basedOn w:val="DefaultParagraphFont"/>
    <w:link w:val="Style7"/>
    <w:rPr>
      <w:rFonts w:ascii="Arial" w:eastAsia="Arial" w:hAnsi="Arial" w:cs="Arial"/>
      <w:b w:val="0"/>
      <w:bCs w:val="0"/>
      <w:i w:val="0"/>
      <w:iCs w:val="0"/>
      <w:smallCaps w:val="0"/>
      <w:strike w:val="0"/>
      <w:sz w:val="19"/>
      <w:szCs w:val="19"/>
      <w:u w:val="none"/>
    </w:rPr>
  </w:style>
  <w:style w:type="character" w:customStyle="1" w:styleId="CharStyle13">
    <w:name w:val="Header or footer|2_"/>
    <w:basedOn w:val="DefaultParagraphFont"/>
    <w:link w:val="Style12"/>
    <w:rPr>
      <w:b w:val="0"/>
      <w:bCs w:val="0"/>
      <w:i w:val="0"/>
      <w:iCs w:val="0"/>
      <w:smallCaps w:val="0"/>
      <w:strike w:val="0"/>
      <w:sz w:val="20"/>
      <w:szCs w:val="20"/>
      <w:u w:val="none"/>
      <w:lang w:val="pt-BR" w:eastAsia="pt-BR" w:bidi="pt-BR"/>
    </w:rPr>
  </w:style>
  <w:style w:type="character" w:customStyle="1" w:styleId="CharStyle15">
    <w:name w:val="Body text|1_"/>
    <w:basedOn w:val="DefaultParagraphFont"/>
    <w:link w:val="Style14"/>
    <w:rPr>
      <w:rFonts w:ascii="Arial" w:eastAsia="Arial" w:hAnsi="Arial" w:cs="Arial"/>
      <w:b w:val="0"/>
      <w:bCs w:val="0"/>
      <w:i w:val="0"/>
      <w:iCs w:val="0"/>
      <w:smallCaps w:val="0"/>
      <w:strike w:val="0"/>
      <w:sz w:val="20"/>
      <w:szCs w:val="20"/>
      <w:u w:val="none"/>
    </w:rPr>
  </w:style>
  <w:style w:type="character" w:customStyle="1" w:styleId="CharStyle18">
    <w:name w:val="Heading #2|1_"/>
    <w:basedOn w:val="DefaultParagraphFont"/>
    <w:link w:val="Style17"/>
    <w:rPr>
      <w:rFonts w:ascii="Arial" w:eastAsia="Arial" w:hAnsi="Arial" w:cs="Arial"/>
      <w:b/>
      <w:bCs/>
      <w:i w:val="0"/>
      <w:iCs w:val="0"/>
      <w:smallCaps w:val="0"/>
      <w:strike w:val="0"/>
      <w:u w:val="none"/>
    </w:rPr>
  </w:style>
  <w:style w:type="character" w:customStyle="1" w:styleId="CharStyle27">
    <w:name w:val="Heading #1|1_"/>
    <w:basedOn w:val="DefaultParagraphFont"/>
    <w:link w:val="Style26"/>
    <w:rPr>
      <w:b w:val="0"/>
      <w:bCs w:val="0"/>
      <w:i w:val="0"/>
      <w:iCs w:val="0"/>
      <w:smallCaps w:val="0"/>
      <w:strike w:val="0"/>
      <w:color w:val="EBEBEB"/>
      <w:sz w:val="84"/>
      <w:szCs w:val="84"/>
      <w:u w:val="none"/>
      <w:lang w:val="pt-BR" w:eastAsia="pt-BR" w:bidi="pt-BR"/>
    </w:rPr>
  </w:style>
  <w:style w:type="character" w:customStyle="1" w:styleId="CharStyle29">
    <w:name w:val="Body text|4_"/>
    <w:basedOn w:val="DefaultParagraphFont"/>
    <w:link w:val="Style28"/>
    <w:rPr>
      <w:rFonts w:ascii="Arial" w:eastAsia="Arial" w:hAnsi="Arial" w:cs="Arial"/>
      <w:b/>
      <w:bCs/>
      <w:i/>
      <w:iCs/>
      <w:smallCaps w:val="0"/>
      <w:strike w:val="0"/>
      <w:sz w:val="16"/>
      <w:szCs w:val="16"/>
      <w:u w:val="none"/>
      <w:lang w:val="pt-BR" w:eastAsia="pt-BR" w:bidi="pt-BR"/>
    </w:rPr>
  </w:style>
  <w:style w:type="character" w:customStyle="1" w:styleId="CharStyle33">
    <w:name w:val="Body text|5_"/>
    <w:basedOn w:val="DefaultParagraphFont"/>
    <w:link w:val="Style32"/>
    <w:rPr>
      <w:b w:val="0"/>
      <w:bCs w:val="0"/>
      <w:i w:val="0"/>
      <w:iCs w:val="0"/>
      <w:smallCaps/>
      <w:strike w:val="0"/>
      <w:color w:val="8A89AB"/>
      <w:sz w:val="12"/>
      <w:szCs w:val="12"/>
      <w:u w:val="none"/>
      <w:lang w:val="pt-BR" w:eastAsia="pt-BR" w:bidi="pt-BR"/>
    </w:rPr>
  </w:style>
  <w:style w:type="paragraph" w:customStyle="1" w:styleId="Style2">
    <w:name w:val="Heading #3|1"/>
    <w:basedOn w:val="Normal"/>
    <w:link w:val="CharStyle3"/>
    <w:pPr>
      <w:widowControl w:val="0"/>
      <w:shd w:val="clear" w:color="auto" w:fill="auto"/>
      <w:spacing w:after="80" w:line="331" w:lineRule="auto"/>
      <w:outlineLvl w:val="2"/>
    </w:pPr>
    <w:rPr>
      <w:rFonts w:ascii="Arial" w:eastAsia="Arial" w:hAnsi="Arial" w:cs="Arial"/>
      <w:b/>
      <w:bCs/>
      <w:i w:val="0"/>
      <w:iCs w:val="0"/>
      <w:smallCaps w:val="0"/>
      <w:strike w:val="0"/>
      <w:sz w:val="20"/>
      <w:szCs w:val="20"/>
      <w:u w:val="none"/>
      <w:lang w:val="pt-BR" w:eastAsia="pt-BR" w:bidi="pt-BR"/>
    </w:rPr>
  </w:style>
  <w:style w:type="paragraph" w:customStyle="1" w:styleId="Style4">
    <w:name w:val="Body text|3"/>
    <w:basedOn w:val="Normal"/>
    <w:link w:val="CharStyle5"/>
    <w:pPr>
      <w:widowControl w:val="0"/>
      <w:shd w:val="clear" w:color="auto" w:fill="auto"/>
    </w:pPr>
    <w:rPr>
      <w:b w:val="0"/>
      <w:bCs w:val="0"/>
      <w:i w:val="0"/>
      <w:iCs w:val="0"/>
      <w:smallCaps w:val="0"/>
      <w:strike w:val="0"/>
      <w:sz w:val="20"/>
      <w:szCs w:val="20"/>
      <w:u w:val="none"/>
      <w:lang w:val="pt-BR" w:eastAsia="pt-BR" w:bidi="pt-BR"/>
    </w:rPr>
  </w:style>
  <w:style w:type="paragraph" w:customStyle="1" w:styleId="Style7">
    <w:name w:val="Body text|2"/>
    <w:basedOn w:val="Normal"/>
    <w:link w:val="CharStyle8"/>
    <w:pPr>
      <w:widowControl w:val="0"/>
      <w:shd w:val="clear" w:color="auto" w:fill="auto"/>
      <w:spacing w:after="20" w:line="283" w:lineRule="auto"/>
    </w:pPr>
    <w:rPr>
      <w:rFonts w:ascii="Arial" w:eastAsia="Arial" w:hAnsi="Arial" w:cs="Arial"/>
      <w:b w:val="0"/>
      <w:bCs w:val="0"/>
      <w:i w:val="0"/>
      <w:iCs w:val="0"/>
      <w:smallCaps w:val="0"/>
      <w:strike w:val="0"/>
      <w:sz w:val="19"/>
      <w:szCs w:val="19"/>
      <w:u w:val="none"/>
    </w:rPr>
  </w:style>
  <w:style w:type="paragraph" w:customStyle="1" w:styleId="Style12">
    <w:name w:val="Header or footer|2"/>
    <w:basedOn w:val="Normal"/>
    <w:link w:val="CharStyle13"/>
    <w:pPr>
      <w:widowControl w:val="0"/>
      <w:shd w:val="clear" w:color="auto" w:fill="auto"/>
    </w:pPr>
    <w:rPr>
      <w:b w:val="0"/>
      <w:bCs w:val="0"/>
      <w:i w:val="0"/>
      <w:iCs w:val="0"/>
      <w:smallCaps w:val="0"/>
      <w:strike w:val="0"/>
      <w:sz w:val="20"/>
      <w:szCs w:val="20"/>
      <w:u w:val="none"/>
      <w:lang w:val="pt-BR" w:eastAsia="pt-BR" w:bidi="pt-BR"/>
    </w:rPr>
  </w:style>
  <w:style w:type="paragraph" w:customStyle="1" w:styleId="Style14">
    <w:name w:val="Body text|1"/>
    <w:basedOn w:val="Normal"/>
    <w:link w:val="CharStyle15"/>
    <w:pPr>
      <w:widowControl w:val="0"/>
      <w:shd w:val="clear" w:color="auto" w:fill="auto"/>
      <w:spacing w:after="100" w:line="336" w:lineRule="auto"/>
      <w:ind w:firstLine="20"/>
    </w:pPr>
    <w:rPr>
      <w:rFonts w:ascii="Arial" w:eastAsia="Arial" w:hAnsi="Arial" w:cs="Arial"/>
      <w:b w:val="0"/>
      <w:bCs w:val="0"/>
      <w:i w:val="0"/>
      <w:iCs w:val="0"/>
      <w:smallCaps w:val="0"/>
      <w:strike w:val="0"/>
      <w:sz w:val="20"/>
      <w:szCs w:val="20"/>
      <w:u w:val="none"/>
    </w:rPr>
  </w:style>
  <w:style w:type="paragraph" w:customStyle="1" w:styleId="Style17">
    <w:name w:val="Heading #2|1"/>
    <w:basedOn w:val="Normal"/>
    <w:link w:val="CharStyle18"/>
    <w:pPr>
      <w:widowControl w:val="0"/>
      <w:shd w:val="clear" w:color="auto" w:fill="auto"/>
      <w:spacing w:line="276" w:lineRule="auto"/>
      <w:jc w:val="center"/>
      <w:outlineLvl w:val="1"/>
    </w:pPr>
    <w:rPr>
      <w:rFonts w:ascii="Arial" w:eastAsia="Arial" w:hAnsi="Arial" w:cs="Arial"/>
      <w:b/>
      <w:bCs/>
      <w:i w:val="0"/>
      <w:iCs w:val="0"/>
      <w:smallCaps w:val="0"/>
      <w:strike w:val="0"/>
      <w:u w:val="none"/>
    </w:rPr>
  </w:style>
  <w:style w:type="paragraph" w:customStyle="1" w:styleId="Style26">
    <w:name w:val="Heading #1|1"/>
    <w:basedOn w:val="Normal"/>
    <w:link w:val="CharStyle27"/>
    <w:pPr>
      <w:widowControl w:val="0"/>
      <w:shd w:val="clear" w:color="auto" w:fill="auto"/>
      <w:jc w:val="center"/>
      <w:outlineLvl w:val="0"/>
    </w:pPr>
    <w:rPr>
      <w:b w:val="0"/>
      <w:bCs w:val="0"/>
      <w:i w:val="0"/>
      <w:iCs w:val="0"/>
      <w:smallCaps w:val="0"/>
      <w:strike w:val="0"/>
      <w:color w:val="EBEBEB"/>
      <w:sz w:val="84"/>
      <w:szCs w:val="84"/>
      <w:u w:val="none"/>
      <w:lang w:val="pt-BR" w:eastAsia="pt-BR" w:bidi="pt-BR"/>
    </w:rPr>
  </w:style>
  <w:style w:type="paragraph" w:customStyle="1" w:styleId="Style28">
    <w:name w:val="Body text|4"/>
    <w:basedOn w:val="Normal"/>
    <w:link w:val="CharStyle29"/>
    <w:pPr>
      <w:widowControl w:val="0"/>
      <w:shd w:val="clear" w:color="auto" w:fill="auto"/>
      <w:spacing w:after="200"/>
    </w:pPr>
    <w:rPr>
      <w:rFonts w:ascii="Arial" w:eastAsia="Arial" w:hAnsi="Arial" w:cs="Arial"/>
      <w:b/>
      <w:bCs/>
      <w:i/>
      <w:iCs/>
      <w:smallCaps w:val="0"/>
      <w:strike w:val="0"/>
      <w:sz w:val="16"/>
      <w:szCs w:val="16"/>
      <w:u w:val="none"/>
      <w:lang w:val="pt-BR" w:eastAsia="pt-BR" w:bidi="pt-BR"/>
    </w:rPr>
  </w:style>
  <w:style w:type="paragraph" w:customStyle="1" w:styleId="Style32">
    <w:name w:val="Body text|5"/>
    <w:basedOn w:val="Normal"/>
    <w:link w:val="CharStyle33"/>
    <w:pPr>
      <w:widowControl w:val="0"/>
      <w:shd w:val="clear" w:color="auto" w:fill="auto"/>
      <w:spacing w:after="120"/>
      <w:jc w:val="center"/>
    </w:pPr>
    <w:rPr>
      <w:b w:val="0"/>
      <w:bCs w:val="0"/>
      <w:i w:val="0"/>
      <w:iCs w:val="0"/>
      <w:smallCaps/>
      <w:strike w:val="0"/>
      <w:color w:val="8A89AB"/>
      <w:sz w:val="12"/>
      <w:szCs w:val="12"/>
      <w:u w:val="none"/>
      <w:lang w:val="pt-BR" w:eastAsia="pt-BR" w:bidi="pt-BR"/>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image" Target="media/image7.jpeg"/><Relationship Id="rId20" Type="http://schemas.openxmlformats.org/officeDocument/2006/relationships/image" Target="media/image7.jpeg" TargetMode="Externa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image" Target="media/image10.jpeg"/><Relationship Id="rId26" Type="http://schemas.openxmlformats.org/officeDocument/2006/relationships/image" Target="media/image10.jpeg" TargetMode="External"/><Relationship Id="rId27" Type="http://schemas.openxmlformats.org/officeDocument/2006/relationships/footer" Target="footer3.xml"/><Relationship Id="rId28" Type="http://schemas.openxmlformats.org/officeDocument/2006/relationships/footer" Target="footer4.xm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image" Target="media/image13.jpeg"/><Relationship Id="rId32" Type="http://schemas.openxmlformats.org/officeDocument/2006/relationships/image" Target="media/image13.jpeg" TargetMode="External"/><Relationship Id="rId33" Type="http://schemas.openxmlformats.org/officeDocument/2006/relationships/image" Target="media/image14.jpeg"/><Relationship Id="rId34" Type="http://schemas.openxmlformats.org/officeDocument/2006/relationships/image" Target="media/image14.jpeg" TargetMode="External"/><Relationship Id="rId35" Type="http://schemas.openxmlformats.org/officeDocument/2006/relationships/footer" Target="footer5.xml"/><Relationship Id="rId36" Type="http://schemas.openxmlformats.org/officeDocument/2006/relationships/footer" Target="footer6.xml"/><Relationship Id="rId37" Type="http://schemas.openxmlformats.org/officeDocument/2006/relationships/image" Target="media/image15.jpeg"/><Relationship Id="rId38" Type="http://schemas.openxmlformats.org/officeDocument/2006/relationships/image" Target="media/image15.jpeg" TargetMode="External"/><Relationship Id="rId39" Type="http://schemas.openxmlformats.org/officeDocument/2006/relationships/footer" Target="footer7.xml"/></Relationships>
</file>

<file path=word/_rels/footer3.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word/_rels/footer5.xml.rels>&#65279;<?xml version="1.0" encoding="UTF-8" standalone="yes"?>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1.jpeg" TargetMode="External"/></Relationships>
</file>

<file path=docProps/core.xml><?xml version="1.0" encoding="utf-8"?>
<cp:coreProperties xmlns:cp="http://schemas.openxmlformats.org/package/2006/metadata/core-properties" xmlns:dc="http://purl.org/dc/elements/1.1/">
  <dc:title>Contrato_Administrativo-0011_26-2 (1).pdf</dc:title>
  <dc:subject/>
  <dc:creator>LUIZ ROZINALDO GOES</dc:creator>
  <cp:keywords/>
</cp:coreProperties>
</file>