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240" w:h="427" w:wrap="none" w:hAnchor="page" w:x="5814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34"/>
          <w:szCs w:val="34"/>
        </w:rPr>
      </w:pPr>
      <w:r>
        <w:rPr>
          <w:b w:val="0"/>
          <w:bCs w:val="0"/>
          <w:i/>
          <w:iCs/>
          <w:color w:val="000000"/>
          <w:spacing w:val="0"/>
          <w:w w:val="100"/>
          <w:position w:val="0"/>
          <w:sz w:val="34"/>
          <w:szCs w:val="34"/>
          <w:shd w:val="clear" w:color="auto" w:fill="auto"/>
          <w:lang w:val="pt-BR" w:eastAsia="pt-BR" w:bidi="pt-BR"/>
        </w:rPr>
        <w:t>o</w:t>
      </w:r>
    </w:p>
    <w:p>
      <w:pPr>
        <w:widowControl w:val="0"/>
        <w:spacing w:line="360" w:lineRule="exact"/>
      </w:pPr>
      <w:r>
        <w:drawing>
          <wp:anchor distT="213360" distB="0" distL="0" distR="0" simplePos="0" relativeHeight="62914690" behindDoc="1" locked="0" layoutInCell="1" allowOverlap="1">
            <wp:simplePos x="0" y="0"/>
            <wp:positionH relativeFrom="page">
              <wp:posOffset>3298190</wp:posOffset>
            </wp:positionH>
            <wp:positionV relativeFrom="margin">
              <wp:posOffset>213360</wp:posOffset>
            </wp:positionV>
            <wp:extent cx="938530" cy="59753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938530" cy="5975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after="556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834" w:left="476" w:right="476" w:bottom="274" w:header="406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Borba Prev</w:t>
      </w:r>
      <w:bookmarkEnd w:id="0"/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580" w:line="240" w:lineRule="auto"/>
        <w:ind w:left="300" w:right="0" w:firstLine="0"/>
        <w:jc w:val="center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FUNDO MUNICIPAL DE PREVIDÊNCIA SOCIAL DE BORBA-AM</w:t>
      </w:r>
      <w:bookmarkEnd w:id="1"/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CONTRTATO N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9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011.2025- BORBAPREV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440" w:line="360" w:lineRule="auto"/>
        <w:ind w:left="5060" w:right="0" w:firstLine="720"/>
        <w:jc w:val="both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302260</wp:posOffset>
            </wp:positionH>
            <wp:positionV relativeFrom="paragraph">
              <wp:posOffset>1422400</wp:posOffset>
            </wp:positionV>
            <wp:extent cx="225425" cy="231775"/>
            <wp:wrapSquare wrapText="bothSides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25425" cy="23177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TERMO DE CONTRATO QUE ENTRE SI CELEBRAM, FUNDO MUNICIPAL DE PREVIDÊNCIA SOCIAL DE BORBA - BORBAPREV 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3IT CONSULTORIA LTDA,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PARA O FIM QUE A SEGUIR DECLARA: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307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Pelo presente instrumento particular de CONTRATO DE PRESTAÇÃO DE SERVIÇOS que fazem entre si, de um lado, FUNDO MUNICIPAL DE PREVIDÊNCIA SOCIAL DE BORBA - BORBA, pessoa jurídica de direito público interno, inscrita no CNPJ/MF: sob o n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9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21.407.460/0001-09, com sede na Av. 13 de maio, bairro centro, neste ato representado pela presidente do FUNDO MUNICIPAL DE PREVIDÊNCIA SOCIAL DE BORBA - BORBAPREV, o Sr. Maria de Fátima Nascimento dos Santos, inscrito no CPF sob o n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9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***.305.***-11, doravante denominado de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CONTRATANTE,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no final assinado, e do outro lado, a Empresa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3IT CONSULTORIA LTDA,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com sede na Avenida Antônio Sales, n.9 1885, Sala 1101, Dionísio Torres, Fortaleza-CE, CEP: 60135-203, inscrita no CNPJ/MF: 11.250.881/0001-15, representada pelo Sr. Paulo Sérgio da Costa Celedônio Filho, inscrito no CPF sob o n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9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. 018.679.293-09, no final assinado, doravante denominada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CONTRATADA,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resolvem firmar Contrato, mediante as cláusulas e condições a seguir: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CLÁUSULA PRIMEIRA- DA FUNDAMENTAÇÃO LEGAL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bidi w:val="0"/>
        <w:spacing w:before="0" w:after="440" w:line="310" w:lineRule="auto"/>
        <w:ind w:left="0" w:right="0" w:firstLine="0"/>
        <w:jc w:val="both"/>
      </w:pPr>
      <w:r>
        <w:drawing>
          <wp:anchor distT="0" distB="0" distL="114300" distR="114300" simplePos="0" relativeHeight="125829379" behindDoc="0" locked="0" layoutInCell="1" allowOverlap="1">
            <wp:simplePos x="0" y="0"/>
            <wp:positionH relativeFrom="page">
              <wp:posOffset>326390</wp:posOffset>
            </wp:positionH>
            <wp:positionV relativeFrom="paragraph">
              <wp:posOffset>406400</wp:posOffset>
            </wp:positionV>
            <wp:extent cx="231775" cy="231775"/>
            <wp:wrapSquare wrapText="bothSides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31775" cy="23177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 presente Contrato tem como fundamento na Lei n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9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14.133/21, devidamente homologado pelo FUNDO MUNICIPAL DE PREVIDÊNCIA SOCIAL DE BORBA - BORBAPREV, e pelo Sr. Maria de Fátima Nascimento dos Santos - Presidente do Borbaprev, neste ato de transição.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CLÁUSULA SEGUNDA - DO OBJETO CONTRATUAL</w:t>
      </w:r>
      <w:bookmarkEnd w:id="2"/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404" w:val="left"/>
        </w:tabs>
        <w:bidi w:val="0"/>
        <w:spacing w:before="0" w:after="500" w:line="305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Contratação de empresa especializada na prestação de serviços de Censo Previdenciário Cadastral, Financeiro e Funcional, para aprimoramento da Gestão Previdenciária de dados cadastrais, funcionais e financeiros dos servidores públicos municipais ativos, aposentados e pensionistas vinculados ao Fundo Municipal de Previdência Social de Borba - BORBA PREV, incluindo o fornecimento de mão de obra, equipamentos e materiais necessários à realização do Censo Previdenciário.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420" w:line="240" w:lineRule="auto"/>
        <w:ind w:left="0" w:right="0" w:firstLine="0"/>
        <w:jc w:val="both"/>
      </w:pP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CLÁUSULA TERCEIRA - DO PREÇO</w:t>
      </w:r>
      <w:bookmarkEnd w:id="3"/>
    </w:p>
    <w:p>
      <w:pPr>
        <w:widowControl w:val="0"/>
        <w:spacing w:after="2283" w:line="1" w:lineRule="exact"/>
      </w:pPr>
      <w:r>
        <w:drawing>
          <wp:anchor distT="176530" distB="0" distL="12065" distR="0" simplePos="0" relativeHeight="62914691" behindDoc="1" locked="0" layoutInCell="1" allowOverlap="1">
            <wp:simplePos x="0" y="0"/>
            <wp:positionH relativeFrom="page">
              <wp:posOffset>1078865</wp:posOffset>
            </wp:positionH>
            <wp:positionV relativeFrom="paragraph">
              <wp:posOffset>227330</wp:posOffset>
            </wp:positionV>
            <wp:extent cx="6175375" cy="1225550"/>
            <wp:wrapNone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6175375" cy="12255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1066800</wp:posOffset>
                </wp:positionH>
                <wp:positionV relativeFrom="paragraph">
                  <wp:posOffset>50800</wp:posOffset>
                </wp:positionV>
                <wp:extent cx="5425440" cy="176530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25440" cy="1765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pt-BR" w:eastAsia="pt-BR" w:bidi="pt-BR"/>
                              </w:rPr>
                              <w:t xml:space="preserve">3.1 — A </w:t>
                            </w:r>
                            <w:r>
                              <w:rPr>
                                <w:b w:val="0"/>
                                <w:bCs w:val="0"/>
                                <w:smallCaps/>
                                <w:color w:val="000000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pt-BR" w:eastAsia="pt-BR" w:bidi="pt-BR"/>
                              </w:rPr>
                              <w:t>contratante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pt-BR" w:eastAsia="pt-BR" w:bidi="pt-BR"/>
                              </w:rPr>
                              <w:t xml:space="preserve"> pagará à CONTRATADA o valor global de R$ 55.000,00 (cinquenta e cinco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5" type="#_x0000_t202" style="position:absolute;margin-left:84.pt;margin-top:4.pt;width:427.19999999999999pt;height:13.9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pt-BR" w:eastAsia="pt-BR" w:bidi="pt-BR"/>
                        </w:rPr>
                        <w:t xml:space="preserve">3.1 — A </w:t>
                      </w:r>
                      <w:r>
                        <w:rPr>
                          <w:b w:val="0"/>
                          <w:bCs w:val="0"/>
                          <w:smallCaps/>
                          <w:color w:val="000000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pt-BR" w:eastAsia="pt-BR" w:bidi="pt-BR"/>
                        </w:rPr>
                        <w:t>contratante</w:t>
                      </w: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pt-BR" w:eastAsia="pt-BR" w:bidi="pt-BR"/>
                        </w:rPr>
                        <w:t xml:space="preserve"> pagará à CONTRATADA o valor global de R$ 55.000,00 (cinquenta e cinco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br w:type="page"/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BorbaPrev</w:t>
      </w:r>
      <w:bookmarkEnd w:id="4"/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312" w:lineRule="auto"/>
        <w:ind w:left="220" w:right="0" w:firstLine="0"/>
        <w:jc w:val="center"/>
      </w:pPr>
      <w:bookmarkStart w:id="5" w:name="bookmark5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FUNDO MUNICIPAL DE PREVIDÊNCIA SOCIAL DE BORBA-AM</w:t>
      </w:r>
      <w:bookmarkEnd w:id="5"/>
    </w:p>
    <w:p>
      <w:pPr>
        <w:pStyle w:val="Style7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446" w:val="left"/>
        </w:tabs>
        <w:bidi w:val="0"/>
        <w:spacing w:before="0" w:after="260" w:line="31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O pagamento será efetuado conforme a execução do objeto seguindo o cronograma abaixo, vinculado às etapas do projeto: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540" w:line="307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25% (vinte por cento), equivalente a 13.750,00 (treze mil, setecentos e cinquenta reais), na fase de planejamento dos serviços, após aprovação do cronograma de trabalho;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520" w:line="307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25% (vinte e cinco por cento), equivalente a R$ 13.750,00 (treze mil, setecentos e cinquenta reais), após a execução de 50% (cinquenta por cento) das atividades previstas;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540" w:line="307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25% (vinte e cinco por cento), equivalente a R$ 13.750,00 (treze mil, setecentos e cinquenta reais), após a conclusão de 100% (cem por cento) da execução dos serviços contratados;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60" w:line="307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25% (vinte e cinco por cento), equivalente a 13.750,00 (treze mil, setecentos e cinquenta reais), mediante entrega e aprovação do relatório final com os resultados do projeto.</w:t>
      </w:r>
    </w:p>
    <w:p>
      <w:pPr>
        <w:pStyle w:val="Style7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451" w:val="left"/>
        </w:tabs>
        <w:bidi w:val="0"/>
        <w:spacing w:before="0" w:after="44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As parcelas serão pagas mediante apresentação de nota fiscal correspondente, observando-se o prazo de até 10 (dez) dias úteis para quitação, contados a partir da aprovação de cada etapa.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line="300" w:lineRule="auto"/>
        <w:ind w:left="0" w:right="0" w:firstLine="0"/>
        <w:jc w:val="both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CLÁUSULA QUARTA - DO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REAJUSTAMENTO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DO PREÇO E DOTAÇÃO ORÇARMENTARIA</w:t>
      </w:r>
      <w:bookmarkEnd w:id="6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DOTAÇÃO ORÇAMENTÁRIA: 3.3.90.35. PROJETO ATIVIDADE: 09.122.001.2.047, NATUREZA DE DESPESA: 3.3.90.39.00. Fonte de Recursos: 802- PREV SOCIAL MUNICIPAL - RPPS.</w:t>
      </w:r>
    </w:p>
    <w:p>
      <w:pPr>
        <w:pStyle w:val="Style7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451" w:val="left"/>
        </w:tabs>
        <w:bidi w:val="0"/>
        <w:spacing w:before="0" w:after="44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Irreajustável.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line="310" w:lineRule="auto"/>
        <w:ind w:left="0" w:right="0" w:firstLine="0"/>
        <w:jc w:val="both"/>
      </w:pPr>
      <w:bookmarkStart w:id="7" w:name="bookmark7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CLÁUSULA QUINTA - DA VIGÊNCIA E DA PRORROGAÇÃO</w:t>
      </w:r>
      <w:bookmarkEnd w:id="7"/>
    </w:p>
    <w:p>
      <w:pPr>
        <w:pStyle w:val="Style7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451" w:val="left"/>
        </w:tabs>
        <w:bidi w:val="0"/>
        <w:spacing w:before="0" w:after="640" w:line="31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O contrato vigorará, a partir da data de sua assinatura, até o dia 31 de dezembro de 2025, podendo ser prorrogado nos casos e formas previstos na Lei n^ 14.133/21 e suas alterações posteriores.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CLÁUSULA SEXTA - DA FORMA DE PAGAMENTO</w:t>
      </w:r>
    </w:p>
    <w:p>
      <w:pPr>
        <w:pStyle w:val="Style7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456" w:val="left"/>
        </w:tabs>
        <w:bidi w:val="0"/>
        <w:spacing w:before="0" w:after="440" w:line="31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O pagamento será efetuado pela Contratante à Contratada após a execução dos serviços, mediante a apresentação das Notas Fiscais/Faturas devidamente atestadas pelo Setor Competente, de acordo com as exigências administrativas em vigor.</w:t>
      </w:r>
    </w:p>
    <w:p>
      <w:pPr>
        <w:widowControl w:val="0"/>
        <w:spacing w:after="2054" w:line="1" w:lineRule="exact"/>
      </w:pPr>
      <w:r>
        <mc:AlternateContent>
          <mc:Choice Requires="wps">
            <w:drawing>
              <wp:anchor distT="0" distB="0" distL="0" distR="0" simplePos="0" relativeHeight="62914692" behindDoc="1" locked="0" layoutInCell="1" allowOverlap="1">
                <wp:simplePos x="0" y="0"/>
                <wp:positionH relativeFrom="page">
                  <wp:posOffset>1100455</wp:posOffset>
                </wp:positionH>
                <wp:positionV relativeFrom="paragraph">
                  <wp:posOffset>167005</wp:posOffset>
                </wp:positionV>
                <wp:extent cx="3395345" cy="167640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395345" cy="1676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CLÁUSULA SÉTIMA - DAS OBRIGAÇÕES DA CONTRATANTE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86.650000000000006pt;margin-top:13.15pt;width:267.35000000000002pt;height:13.199999999999999pt;z-index:-188744061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CLÁUSULA SÉTIMA - DAS OBRIGAÇÕES DA CONTRATANTE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drawing>
          <wp:anchor distT="0" distB="146050" distL="0" distR="0" simplePos="0" relativeHeight="62914694" behindDoc="1" locked="0" layoutInCell="1" allowOverlap="1">
            <wp:simplePos x="0" y="0"/>
            <wp:positionH relativeFrom="page">
              <wp:posOffset>4492625</wp:posOffset>
            </wp:positionH>
            <wp:positionV relativeFrom="paragraph">
              <wp:posOffset>374650</wp:posOffset>
            </wp:positionV>
            <wp:extent cx="1256030" cy="786130"/>
            <wp:wrapNone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1256030" cy="78613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4617720</wp:posOffset>
                </wp:positionH>
                <wp:positionV relativeFrom="paragraph">
                  <wp:posOffset>1148715</wp:posOffset>
                </wp:positionV>
                <wp:extent cx="1085215" cy="155575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85215" cy="1555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Port. 004/2025 • BorbaPrev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363.60000000000002pt;margin-top:90.450000000000003pt;width:85.450000000000003pt;height:12.25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Port. 004/2025 • BorbaPrev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drawing>
          <wp:anchor distT="0" distB="0" distL="0" distR="0" simplePos="0" relativeHeight="62914695" behindDoc="1" locked="0" layoutInCell="1" allowOverlap="1">
            <wp:simplePos x="0" y="0"/>
            <wp:positionH relativeFrom="page">
              <wp:posOffset>6108065</wp:posOffset>
            </wp:positionH>
            <wp:positionV relativeFrom="paragraph">
              <wp:posOffset>63500</wp:posOffset>
            </wp:positionV>
            <wp:extent cx="987425" cy="1121410"/>
            <wp:wrapNone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987425" cy="1121410"/>
                    </a:xfrm>
                    <a:prstGeom prst="rect"/>
                  </pic:spPr>
                </pic:pic>
              </a:graphicData>
            </a:graphic>
          </wp:anchor>
        </w:drawing>
      </w:r>
      <w:r>
        <w:br w:type="page"/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0" w:line="240" w:lineRule="auto"/>
        <w:ind w:left="3320" w:right="0" w:firstLine="0"/>
        <w:jc w:val="left"/>
      </w:pPr>
      <w:r>
        <w:drawing>
          <wp:anchor distT="0" distB="0" distL="114300" distR="114300" simplePos="0" relativeHeight="125829380" behindDoc="0" locked="0" layoutInCell="1" allowOverlap="1">
            <wp:simplePos x="0" y="0"/>
            <wp:positionH relativeFrom="page">
              <wp:posOffset>3182620</wp:posOffset>
            </wp:positionH>
            <wp:positionV relativeFrom="margin">
              <wp:posOffset>-819785</wp:posOffset>
            </wp:positionV>
            <wp:extent cx="926465" cy="914400"/>
            <wp:wrapTopAndBottom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926465" cy="914400"/>
                    </a:xfrm>
                    <a:prstGeom prst="rect"/>
                  </pic:spPr>
                </pic:pic>
              </a:graphicData>
            </a:graphic>
          </wp:anchor>
        </w:drawing>
      </w:r>
      <w:bookmarkStart w:id="8" w:name="bookmark8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BorbaPrev</w:t>
      </w:r>
      <w:bookmarkEnd w:id="8"/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132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FUNDO MUNICIPAL DE PREVIDÊNCIA SOCIAL DE BORBA-AM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line="295" w:lineRule="auto"/>
        <w:ind w:left="0" w:right="0" w:firstLine="0"/>
        <w:jc w:val="both"/>
      </w:pPr>
      <w:bookmarkStart w:id="9" w:name="bookmark9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CLÁUSULA SÉTIMA - DAS OBRIGAÇÕES DA CONTRATANTE</w:t>
      </w:r>
      <w:bookmarkEnd w:id="9"/>
    </w:p>
    <w:p>
      <w:pPr>
        <w:pStyle w:val="Style7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454" w:val="left"/>
        </w:tabs>
        <w:bidi w:val="0"/>
        <w:spacing w:before="0" w:after="180" w:line="295" w:lineRule="auto"/>
        <w:ind w:left="0" w:right="54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A Contratante se obriga a proporcionar à Contratada todas as condições necessárias ao pleno cumprimento das obrigações decorrentes do Termo Contratual, consoante estabelece a Lei ns 14.133/21 e suas alterações posteriores;</w:t>
      </w:r>
    </w:p>
    <w:p>
      <w:pPr>
        <w:pStyle w:val="Style7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454" w:val="left"/>
        </w:tabs>
        <w:bidi w:val="0"/>
        <w:spacing w:before="0" w:after="180" w:line="295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Fiscalizar e acompanhar a execução do objeto contratual;</w:t>
      </w:r>
    </w:p>
    <w:p>
      <w:pPr>
        <w:pStyle w:val="Style7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459" w:val="left"/>
        </w:tabs>
        <w:bidi w:val="0"/>
        <w:spacing w:before="0" w:after="180" w:line="290" w:lineRule="auto"/>
        <w:ind w:left="0" w:right="54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Comunicar à Contratada toda e qualquer ocorrência relacionada com a execução do objeto contratual, diligenciando nos casos que exigem providências corretivas;</w:t>
      </w:r>
    </w:p>
    <w:p>
      <w:pPr>
        <w:pStyle w:val="Style7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459" w:val="left"/>
        </w:tabs>
        <w:bidi w:val="0"/>
        <w:spacing w:before="0" w:after="60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- Providenciar os pagamentos à Contratada à vista das Notas Fiscais /Faturas devidamente atestadas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peio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Setor Competente.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line="290" w:lineRule="auto"/>
        <w:ind w:left="0" w:right="0" w:firstLine="0"/>
        <w:jc w:val="both"/>
      </w:pPr>
      <w:bookmarkStart w:id="10" w:name="bookmark1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CLÁUSULA OITAVA - DAS OBRIGAÇÕES DA CONTRATADA</w:t>
      </w:r>
      <w:bookmarkEnd w:id="10"/>
    </w:p>
    <w:p>
      <w:pPr>
        <w:pStyle w:val="Style7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459" w:val="left"/>
        </w:tabs>
        <w:bidi w:val="0"/>
        <w:spacing w:before="0" w:after="18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Executar o objeto do Contrato de conformidade com as condições e prazos estabelecidos, durante a sua vigência;</w:t>
      </w:r>
    </w:p>
    <w:p>
      <w:pPr>
        <w:pStyle w:val="Style7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469" w:val="left"/>
        </w:tabs>
        <w:bidi w:val="0"/>
        <w:spacing w:before="0" w:after="180" w:line="28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Manter durante toda a execução do objeto contratual, em compatibilidade com as obrigações assumidas, todas as condições de habilitação e qualificações;</w:t>
      </w:r>
    </w:p>
    <w:p>
      <w:pPr>
        <w:pStyle w:val="Style7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459" w:val="left"/>
        </w:tabs>
        <w:bidi w:val="0"/>
        <w:spacing w:before="0" w:line="29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Providenciar a imediata correção das deficiências e/ou irregularidades apontadas pela Contratante.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bookmarkStart w:id="11" w:name="bookmark1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CLÁUSULA NONA - DAS SANÇÕES ADMINISTRATIVAS</w:t>
      </w:r>
      <w:bookmarkEnd w:id="11"/>
    </w:p>
    <w:p>
      <w:pPr>
        <w:pStyle w:val="Style7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464" w:val="left"/>
        </w:tabs>
        <w:bidi w:val="0"/>
        <w:spacing w:before="0" w:after="180" w:line="28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Pela inexecução total ou parcial das obrigações assumidas, garantida a prévia defesa, a Administração poderá aplicar à CONTRATADA, as seguintes sanções:</w:t>
      </w:r>
    </w:p>
    <w:p>
      <w:pPr>
        <w:pStyle w:val="Style7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781" w:val="left"/>
        </w:tabs>
        <w:bidi w:val="0"/>
        <w:spacing w:before="0" w:after="180" w:line="28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Advertência;</w:t>
      </w:r>
    </w:p>
    <w:p>
      <w:pPr>
        <w:pStyle w:val="Style7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781" w:val="left"/>
        </w:tabs>
        <w:bidi w:val="0"/>
        <w:spacing w:before="0" w:after="180" w:line="28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Multa;</w:t>
      </w:r>
    </w:p>
    <w:p>
      <w:pPr>
        <w:pStyle w:val="Style7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358" w:val="left"/>
        </w:tabs>
        <w:bidi w:val="0"/>
        <w:spacing w:before="0" w:after="180" w:line="29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 até 5% (cinco por cento), calculada sobre o valor a ser pago no mês à CONTRATADA, pelo atraso injustificado na execução do objeto contratual;</w:t>
      </w:r>
    </w:p>
    <w:p>
      <w:pPr>
        <w:pStyle w:val="Style7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373" w:val="left"/>
        </w:tabs>
        <w:bidi w:val="0"/>
        <w:spacing w:before="0" w:after="180" w:line="276" w:lineRule="auto"/>
        <w:ind w:left="0" w:right="0" w:firstLine="0"/>
        <w:jc w:val="both"/>
      </w:pPr>
      <w:r>
        <w:drawing>
          <wp:anchor distT="0" distB="0" distL="50800" distR="50800" simplePos="0" relativeHeight="125829381" behindDoc="0" locked="0" layoutInCell="1" allowOverlap="1">
            <wp:simplePos x="0" y="0"/>
            <wp:positionH relativeFrom="page">
              <wp:posOffset>6266815</wp:posOffset>
            </wp:positionH>
            <wp:positionV relativeFrom="margin">
              <wp:posOffset>4822190</wp:posOffset>
            </wp:positionV>
            <wp:extent cx="987425" cy="1298575"/>
            <wp:wrapSquare wrapText="bothSides"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987425" cy="129857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de até 10% (dez por cento) sobre o vaior do Contrato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peia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inexecução total ou parcial do objeto contratual; e</w:t>
      </w:r>
    </w:p>
    <w:p>
      <w:pPr>
        <w:pStyle w:val="Style7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344" w:val="left"/>
          <w:tab w:pos="8371" w:val="left"/>
        </w:tabs>
        <w:bidi w:val="0"/>
        <w:spacing w:before="0" w:after="0" w:line="290" w:lineRule="auto"/>
        <w:ind w:left="0" w:right="0" w:firstLine="0"/>
        <w:jc w:val="both"/>
      </w:pPr>
      <w:r>
        <w:drawing>
          <wp:anchor distT="0" distB="0" distL="0" distR="0" simplePos="0" relativeHeight="125829382" behindDoc="0" locked="0" layoutInCell="1" allowOverlap="1">
            <wp:simplePos x="0" y="0"/>
            <wp:positionH relativeFrom="page">
              <wp:posOffset>6248400</wp:posOffset>
            </wp:positionH>
            <wp:positionV relativeFrom="paragraph">
              <wp:posOffset>38100</wp:posOffset>
            </wp:positionV>
            <wp:extent cx="323215" cy="73025"/>
            <wp:wrapTight wrapText="left">
              <wp:wrapPolygon>
                <wp:start x="0" y="0"/>
                <wp:lineTo x="21600" y="0"/>
                <wp:lineTo x="21600" y="21600"/>
                <wp:lineTo x="0" y="21600"/>
                <wp:lineTo x="0" y="0"/>
              </wp:wrapPolygon>
            </wp:wrapTight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323215" cy="7302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Os valores das multas referidas neste item serão descontadas "ex-officio" da CONTRATADA,, mediante subtração a ser efetuada em qualquer fatüra de crédito em seu favor que mantenha(</w:t>
        <w:tab/>
        <w:t xml:space="preserve">\ 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1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400" w:line="29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junto à CONTRATANTE, independente de notificação ou interpelação judicial ou extrajudicial.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both"/>
      </w:pPr>
      <w:r>
        <w:drawing>
          <wp:anchor distT="0" distB="0" distL="88900" distR="88900" simplePos="0" relativeHeight="125829383" behindDoc="0" locked="0" layoutInCell="1" allowOverlap="1">
            <wp:simplePos x="0" y="0"/>
            <wp:positionH relativeFrom="page">
              <wp:posOffset>6196965</wp:posOffset>
            </wp:positionH>
            <wp:positionV relativeFrom="margin">
              <wp:posOffset>7044055</wp:posOffset>
            </wp:positionV>
            <wp:extent cx="646430" cy="621665"/>
            <wp:wrapSquare wrapText="bothSides"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23"/>
                    <a:stretch/>
                  </pic:blipFill>
                  <pic:spPr>
                    <a:xfrm>
                      <a:ext cx="646430" cy="62166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114300" distB="158750" distL="114300" distR="114300" simplePos="0" relativeHeight="125829384" behindDoc="0" locked="0" layoutInCell="1" allowOverlap="1">
            <wp:simplePos x="0" y="0"/>
            <wp:positionH relativeFrom="page">
              <wp:posOffset>4620895</wp:posOffset>
            </wp:positionH>
            <wp:positionV relativeFrom="margin">
              <wp:posOffset>7772400</wp:posOffset>
            </wp:positionV>
            <wp:extent cx="1280160" cy="829310"/>
            <wp:wrapTopAndBottom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25"/>
                    <a:stretch/>
                  </pic:blipFill>
                  <pic:spPr>
                    <a:xfrm>
                      <a:ext cx="1280160" cy="8293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4736465</wp:posOffset>
                </wp:positionH>
                <wp:positionV relativeFrom="margin">
                  <wp:posOffset>8576945</wp:posOffset>
                </wp:positionV>
                <wp:extent cx="1082040" cy="182880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82040" cy="1828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Port. 004/2025 - BorbaPrev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372.94999999999999pt;margin-top:675.35000000000002pt;width:85.200000000000003pt;height:14.4pt;z-index:251657733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Port. 004/2025 - BorbaPrev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CLÁUSULA DÉCIMA - DA RESCISÃO CONTRATUAL</w:t>
      </w:r>
      <w:r>
        <w:br w:type="page"/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12" w:name="bookmark1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Borba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Prev</w:t>
      </w:r>
      <w:bookmarkEnd w:id="12"/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40" w:line="240" w:lineRule="auto"/>
        <w:ind w:left="220" w:right="0" w:firstLine="0"/>
        <w:jc w:val="center"/>
      </w:pPr>
      <w:bookmarkStart w:id="13" w:name="bookmark1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FUNDO MUNICIPAL DE PREVIDÊNCIA SOCIAL DE BORBA-AM</w:t>
      </w:r>
      <w:bookmarkEnd w:id="13"/>
    </w:p>
    <w:p>
      <w:pPr>
        <w:pStyle w:val="Style7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555" w:val="left"/>
        </w:tabs>
        <w:bidi w:val="0"/>
        <w:spacing w:before="0" w:after="400" w:line="295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Na hipótese de ocorrer a rescisão administrativa prevista na Lei n2 14.133/2021,nos artigos 137 a 139 à CONTRATANTE serão assegurados os direitos previstos da citada.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line="295" w:lineRule="auto"/>
        <w:ind w:left="0" w:right="0" w:firstLine="0"/>
        <w:jc w:val="both"/>
      </w:pPr>
      <w:bookmarkStart w:id="14" w:name="bookmark1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DÉCIMA PRIMEIRA ~ DO FORO</w:t>
      </w:r>
      <w:bookmarkEnd w:id="14"/>
    </w:p>
    <w:p>
      <w:pPr>
        <w:pStyle w:val="Style7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565" w:val="left"/>
        </w:tabs>
        <w:bidi w:val="0"/>
        <w:spacing w:before="0" w:after="180" w:line="29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Fica eleito o foro da cidade de Borba/AM para dirimir as questões relacionadas com a execução deste contrato não resolvidas administrativamente.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440" w:line="295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E, estando acertados, assinam o presente instrumento, em 02 (duas) vias, perante 02 (duas) testemunhas que também o assinam, para que produza seus jurídicos e legais efeitos.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480" w:line="295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Borba, AM 30 de julho de 2025. </w:t>
      </w:r>
      <w:r>
        <w:rPr>
          <w:color w:val="4B4D95"/>
          <w:spacing w:val="0"/>
          <w:w w:val="100"/>
          <w:position w:val="0"/>
          <w:shd w:val="clear" w:color="auto" w:fill="auto"/>
          <w:lang w:val="pt-PT" w:eastAsia="pt-PT" w:bidi="pt-PT"/>
        </w:rPr>
        <w:t>/ZZ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drawing>
          <wp:anchor distT="0" distB="0" distL="0" distR="0" simplePos="0" relativeHeight="125829385" behindDoc="0" locked="0" layoutInCell="1" allowOverlap="1">
            <wp:simplePos x="0" y="0"/>
            <wp:positionH relativeFrom="page">
              <wp:posOffset>2924810</wp:posOffset>
            </wp:positionH>
            <wp:positionV relativeFrom="margin">
              <wp:posOffset>2597150</wp:posOffset>
            </wp:positionV>
            <wp:extent cx="670560" cy="225425"/>
            <wp:wrapTight wrapText="bothSides">
              <wp:wrapPolygon>
                <wp:start x="0" y="0"/>
                <wp:lineTo x="21600" y="0"/>
                <wp:lineTo x="21600" y="21600"/>
                <wp:lineTo x="0" y="21600"/>
                <wp:lineTo x="0" y="0"/>
              </wp:wrapPolygon>
            </wp:wrapTight>
            <wp:docPr id="31" name="Shape 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box 32"/>
                    <pic:cNvPicPr/>
                  </pic:nvPicPr>
                  <pic:blipFill>
                    <a:blip r:embed="rId27"/>
                    <a:stretch/>
                  </pic:blipFill>
                  <pic:spPr>
                    <a:xfrm>
                      <a:ext cx="670560" cy="22542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position w:val="0"/>
          <w:shd w:val="clear" w:color="auto" w:fill="auto"/>
        </w:rPr>
        <w:t>CP RPPS DIRIGE (52Ç4Õ3980612901)</w:t>
      </w:r>
    </w:p>
    <w:p>
      <w:pPr>
        <w:pStyle w:val="Style7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1580" w:line="240" w:lineRule="auto"/>
        <w:ind w:left="0" w:right="12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MARIA DE FÁTIMA NASCIMENTO DOS SANTOS</w:t>
        <w:br/>
        <w:t xml:space="preserve">Presidente do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BORBAPREV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/>
        <w:ind w:lef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</w:rPr>
        <w:t xml:space="preserve">Paulo Sérgio cia Costa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Ceiedônio </w:t>
      </w:r>
      <w:r>
        <w:rPr>
          <w:color w:val="000000"/>
          <w:spacing w:val="0"/>
          <w:w w:val="100"/>
          <w:position w:val="0"/>
          <w:shd w:val="clear" w:color="auto" w:fill="auto"/>
        </w:rPr>
        <w:t>Filho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95" w:lineRule="auto"/>
        <w:ind w:left="0" w:right="12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3IT CONSULTORIA LTDA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80" w:right="0" w:firstLine="0"/>
        <w:jc w:val="center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146" w:left="1671" w:right="1517" w:bottom="2431" w:header="1718" w:footer="3" w:gutter="0"/>
          <w:cols w:space="720"/>
          <w:noEndnote/>
          <w:rtlGutter w:val="0"/>
          <w:docGrid w:linePitch="360"/>
        </w:sectPr>
      </w:pPr>
      <w:r>
        <w:drawing>
          <wp:anchor distT="0" distB="0" distL="0" distR="0" simplePos="0" relativeHeight="62914696" behindDoc="1" locked="0" layoutInCell="1" allowOverlap="1">
            <wp:simplePos x="0" y="0"/>
            <wp:positionH relativeFrom="margin">
              <wp:posOffset>1019175</wp:posOffset>
            </wp:positionH>
            <wp:positionV relativeFrom="margin">
              <wp:posOffset>3850005</wp:posOffset>
            </wp:positionV>
            <wp:extent cx="3298190" cy="920750"/>
            <wp:wrapNone/>
            <wp:docPr id="33" name="Shape 3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box 34"/>
                    <pic:cNvPicPr/>
                  </pic:nvPicPr>
                  <pic:blipFill>
                    <a:blip r:embed="rId29"/>
                    <a:stretch/>
                  </pic:blipFill>
                  <pic:spPr>
                    <a:xfrm>
                      <a:ext cx="3298190" cy="92075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Sócio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69" w:after="6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161" w:left="0" w:right="0" w:bottom="2161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1147" w:h="221" w:wrap="none" w:vAnchor="text" w:hAnchor="page" w:x="1977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Testemunhas:</w:t>
      </w:r>
    </w:p>
    <w:p>
      <w:pPr>
        <w:pStyle w:val="Style2"/>
        <w:keepNext w:val="0"/>
        <w:keepLines w:val="0"/>
        <w:framePr w:w="1728" w:h="725" w:wrap="none" w:vAnchor="text" w:hAnchor="page" w:x="3734" w:y="1965"/>
        <w:widowControl w:val="0"/>
        <w:shd w:val="clear" w:color="auto" w:fill="auto"/>
        <w:bidi w:val="0"/>
        <w:spacing w:before="0" w:after="0" w:line="202" w:lineRule="auto"/>
        <w:ind w:left="0" w:right="0" w:firstLine="0"/>
        <w:jc w:val="left"/>
        <w:rPr>
          <w:sz w:val="20"/>
          <w:szCs w:val="20"/>
        </w:rPr>
      </w:pPr>
      <w:r>
        <w:rPr>
          <w:color w:val="000000"/>
          <w:spacing w:val="0"/>
          <w:position w:val="0"/>
          <w:sz w:val="20"/>
          <w:szCs w:val="20"/>
          <w:shd w:val="clear" w:color="auto" w:fill="auto"/>
          <w:lang w:val="pt-PT" w:eastAsia="pt-PT" w:bidi="pt-PT"/>
        </w:rPr>
        <w:t>LUIZ ADRIANO CHAVES</w:t>
      </w:r>
    </w:p>
    <w:p>
      <w:pPr>
        <w:pStyle w:val="Style2"/>
        <w:keepNext w:val="0"/>
        <w:keepLines w:val="0"/>
        <w:framePr w:w="1728" w:h="725" w:wrap="none" w:vAnchor="text" w:hAnchor="page" w:x="3734" w:y="196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8"/>
          <w:szCs w:val="18"/>
        </w:rPr>
      </w:pPr>
      <w:r>
        <w:rPr>
          <w:color w:val="000000"/>
          <w:spacing w:val="0"/>
          <w:position w:val="0"/>
          <w:sz w:val="16"/>
          <w:szCs w:val="16"/>
          <w:shd w:val="clear" w:color="auto" w:fill="auto"/>
          <w:lang w:val="pt-PT" w:eastAsia="pt-PT" w:bidi="pt-PT"/>
        </w:rPr>
        <w:t xml:space="preserve">Chefe de Gabinete </w:t>
      </w:r>
      <w:r>
        <w:rPr>
          <w:color w:val="000000"/>
          <w:spacing w:val="0"/>
          <w:position w:val="0"/>
          <w:sz w:val="16"/>
          <w:szCs w:val="16"/>
          <w:shd w:val="clear" w:color="auto" w:fill="auto"/>
          <w:lang w:val="pt-BR" w:eastAsia="pt-BR" w:bidi="pt-BR"/>
        </w:rPr>
        <w:t xml:space="preserve">Port. </w:t>
      </w:r>
      <w:r>
        <w:rPr>
          <w:color w:val="000000"/>
          <w:spacing w:val="0"/>
          <w:position w:val="0"/>
          <w:sz w:val="16"/>
          <w:szCs w:val="16"/>
          <w:shd w:val="clear" w:color="auto" w:fill="auto"/>
          <w:lang w:val="pt-PT" w:eastAsia="pt-PT" w:bidi="pt-PT"/>
        </w:rPr>
        <w:t xml:space="preserve">004/2025 </w:t>
      </w:r>
      <w:r>
        <w:rPr>
          <w:rFonts w:ascii="Times New Roman" w:eastAsia="Times New Roman" w:hAnsi="Times New Roman" w:cs="Times New Roman"/>
          <w:b w:val="0"/>
          <w:bCs w:val="0"/>
          <w:i/>
          <w:i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PT" w:eastAsia="pt-PT" w:bidi="pt-PT"/>
        </w:rPr>
        <w:t>-BortaPrev</w:t>
      </w:r>
    </w:p>
    <w:p>
      <w:pPr>
        <w:widowControl w:val="0"/>
        <w:spacing w:line="360" w:lineRule="exact"/>
      </w:pPr>
      <w:r>
        <w:drawing>
          <wp:anchor distT="161290" distB="591185" distL="234950" distR="0" simplePos="0" relativeHeight="62914697" behindDoc="1" locked="0" layoutInCell="1" allowOverlap="1">
            <wp:simplePos x="0" y="0"/>
            <wp:positionH relativeFrom="page">
              <wp:posOffset>1489710</wp:posOffset>
            </wp:positionH>
            <wp:positionV relativeFrom="paragraph">
              <wp:posOffset>173990</wp:posOffset>
            </wp:positionV>
            <wp:extent cx="2517775" cy="944880"/>
            <wp:wrapNone/>
            <wp:docPr id="35" name="Shape 3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box 36"/>
                    <pic:cNvPicPr/>
                  </pic:nvPicPr>
                  <pic:blipFill>
                    <a:blip r:embed="rId31"/>
                    <a:stretch/>
                  </pic:blipFill>
                  <pic:spPr>
                    <a:xfrm>
                      <a:ext cx="2517775" cy="94488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08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2161" w:left="1935" w:right="1863" w:bottom="2161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1.%1-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t-BR" w:eastAsia="pt-BR" w:bidi="pt-BR"/>
      </w:rPr>
    </w:lvl>
  </w:abstractNum>
  <w:abstractNum w:abstractNumId="2">
    <w:multiLevelType w:val="multilevel"/>
    <w:lvl w:ilvl="0">
      <w:start w:val="1"/>
      <w:numFmt w:val="decimal"/>
      <w:lvlText w:val="2.%1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t-BR" w:eastAsia="pt-BR" w:bidi="pt-BR"/>
      </w:rPr>
    </w:lvl>
  </w:abstractNum>
  <w:abstractNum w:abstractNumId="4">
    <w:multiLevelType w:val="multilevel"/>
    <w:lvl w:ilvl="0">
      <w:start w:val="2"/>
      <w:numFmt w:val="decimal"/>
      <w:lvlText w:val="3.%1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t-BR" w:eastAsia="pt-BR" w:bidi="pt-BR"/>
      </w:rPr>
    </w:lvl>
  </w:abstractNum>
  <w:abstractNum w:abstractNumId="6">
    <w:multiLevelType w:val="multilevel"/>
    <w:lvl w:ilvl="0">
      <w:start w:val="1"/>
      <w:numFmt w:val="decimal"/>
      <w:lvlText w:val="4.%1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t-BR" w:eastAsia="pt-BR" w:bidi="pt-BR"/>
      </w:rPr>
    </w:lvl>
  </w:abstractNum>
  <w:abstractNum w:abstractNumId="8">
    <w:multiLevelType w:val="multilevel"/>
    <w:lvl w:ilvl="0">
      <w:start w:val="1"/>
      <w:numFmt w:val="decimal"/>
      <w:lvlText w:val="5.%1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t-BR" w:eastAsia="pt-BR" w:bidi="pt-BR"/>
      </w:rPr>
    </w:lvl>
  </w:abstractNum>
  <w:abstractNum w:abstractNumId="10">
    <w:multiLevelType w:val="multilevel"/>
    <w:lvl w:ilvl="0">
      <w:start w:val="1"/>
      <w:numFmt w:val="decimal"/>
      <w:lvlText w:val="7.%1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t-BR" w:eastAsia="pt-BR" w:bidi="pt-BR"/>
      </w:rPr>
    </w:lvl>
  </w:abstractNum>
  <w:abstractNum w:abstractNumId="12">
    <w:multiLevelType w:val="multilevel"/>
    <w:lvl w:ilvl="0">
      <w:start w:val="1"/>
      <w:numFmt w:val="decimal"/>
      <w:lvlText w:val="7.%1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t-BR" w:eastAsia="pt-BR" w:bidi="pt-BR"/>
      </w:rPr>
    </w:lvl>
  </w:abstractNum>
  <w:abstractNum w:abstractNumId="14">
    <w:multiLevelType w:val="multilevel"/>
    <w:lvl w:ilvl="0">
      <w:start w:val="1"/>
      <w:numFmt w:val="decimal"/>
      <w:lvlText w:val="8.%1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t-BR" w:eastAsia="pt-BR" w:bidi="pt-BR"/>
      </w:rPr>
    </w:lvl>
  </w:abstractNum>
  <w:abstractNum w:abstractNumId="16">
    <w:multiLevelType w:val="multilevel"/>
    <w:lvl w:ilvl="0">
      <w:start w:val="1"/>
      <w:numFmt w:val="decimal"/>
      <w:lvlText w:val="9.%1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t-BR" w:eastAsia="pt-BR" w:bidi="pt-BR"/>
      </w:rPr>
    </w:lvl>
  </w:abstractNum>
  <w:abstractNum w:abstractNumId="18">
    <w:multiLevelType w:val="multilevel"/>
    <w:lvl w:ilvl="0">
      <w:start w:val="1"/>
      <w:numFmt w:val="decimal"/>
      <w:lvlText w:val="9.1.%1-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t-BR" w:eastAsia="pt-BR" w:bidi="pt-BR"/>
      </w:rPr>
    </w:lvl>
  </w:abstractNum>
  <w:abstractNum w:abstractNumId="20">
    <w:multiLevelType w:val="multilevel"/>
    <w:lvl w:ilvl="0">
      <w:start w:val="1"/>
      <w:numFmt w:val="lowerLetter"/>
      <w:lvlText w:val="%1)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t-BR" w:eastAsia="pt-BR" w:bidi="pt-BR"/>
      </w:rPr>
    </w:lvl>
  </w:abstractNum>
  <w:abstractNum w:abstractNumId="22">
    <w:multiLevelType w:val="multilevel"/>
    <w:lvl w:ilvl="0">
      <w:start w:val="1"/>
      <w:numFmt w:val="decimal"/>
      <w:lvlText w:val="11.%1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t-PT" w:eastAsia="pt-PT" w:bidi="pt-PT"/>
      </w:rPr>
    </w:lvl>
  </w:abstractNum>
  <w:abstractNum w:abstractNumId="24">
    <w:multiLevelType w:val="multilevel"/>
    <w:lvl w:ilvl="0">
      <w:start w:val="1"/>
      <w:numFmt w:val="decimal"/>
      <w:lvlText w:val="12.%1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t-PT" w:eastAsia="pt-PT" w:bidi="pt-PT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  <w:num w:numId="17">
    <w:abstractNumId w:val="16"/>
  </w:num>
  <w:num w:numId="19">
    <w:abstractNumId w:val="18"/>
  </w:num>
  <w:num w:numId="21">
    <w:abstractNumId w:val="20"/>
  </w:num>
  <w:num w:numId="23">
    <w:abstractNumId w:val="22"/>
  </w:num>
  <w:num w:numId="25">
    <w:abstractNumId w:val="2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Picture caption|1_"/>
    <w:basedOn w:val="DefaultParagraphFont"/>
    <w:link w:val="Style2"/>
    <w:rPr>
      <w:rFonts w:ascii="Arial" w:eastAsia="Arial" w:hAnsi="Arial" w:cs="Arial"/>
      <w:b/>
      <w:bCs/>
      <w:i w:val="0"/>
      <w:iCs w:val="0"/>
      <w:smallCaps w:val="0"/>
      <w:strike w:val="0"/>
      <w:w w:val="70"/>
      <w:sz w:val="16"/>
      <w:szCs w:val="16"/>
      <w:u w:val="none"/>
    </w:rPr>
  </w:style>
  <w:style w:type="character" w:customStyle="1" w:styleId="CharStyle8">
    <w:name w:val="Body text|1_"/>
    <w:basedOn w:val="DefaultParagraphFont"/>
    <w:link w:val="Style7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11">
    <w:name w:val="Heading #1|1_"/>
    <w:basedOn w:val="DefaultParagraphFont"/>
    <w:link w:val="Style10"/>
    <w:rPr>
      <w:rFonts w:ascii="Arial" w:eastAsia="Arial" w:hAnsi="Arial" w:cs="Arial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3">
    <w:name w:val="Heading #2|1_"/>
    <w:basedOn w:val="DefaultParagraphFont"/>
    <w:link w:val="Style12"/>
    <w:rPr>
      <w:rFonts w:ascii="Arial" w:eastAsia="Arial" w:hAnsi="Arial" w:cs="Arial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15">
    <w:name w:val="Body text|2_"/>
    <w:basedOn w:val="DefaultParagraphFont"/>
    <w:link w:val="Style14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8">
    <w:name w:val="Body text|4_"/>
    <w:basedOn w:val="DefaultParagraphFont"/>
    <w:link w:val="Style17"/>
    <w:rPr>
      <w:rFonts w:ascii="Arial" w:eastAsia="Arial" w:hAnsi="Arial" w:cs="Arial"/>
      <w:b/>
      <w:bCs/>
      <w:i w:val="0"/>
      <w:iCs w:val="0"/>
      <w:smallCaps w:val="0"/>
      <w:strike w:val="0"/>
      <w:w w:val="70"/>
      <w:sz w:val="16"/>
      <w:szCs w:val="16"/>
      <w:u w:val="none"/>
      <w:lang w:val="pt-PT" w:eastAsia="pt-PT" w:bidi="pt-PT"/>
    </w:rPr>
  </w:style>
  <w:style w:type="character" w:customStyle="1" w:styleId="CharStyle20">
    <w:name w:val="Body text|3_"/>
    <w:basedOn w:val="DefaultParagraphFont"/>
    <w:link w:val="Style19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  <w:lang w:val="pt-PT" w:eastAsia="pt-PT" w:bidi="pt-PT"/>
    </w:rPr>
  </w:style>
  <w:style w:type="paragraph" w:customStyle="1" w:styleId="Style2">
    <w:name w:val="Picture caption|1"/>
    <w:basedOn w:val="Normal"/>
    <w:link w:val="CharStyle3"/>
    <w:pPr>
      <w:widowControl w:val="0"/>
      <w:shd w:val="clear" w:color="auto" w:fill="FFFFFF"/>
    </w:pPr>
    <w:rPr>
      <w:rFonts w:ascii="Arial" w:eastAsia="Arial" w:hAnsi="Arial" w:cs="Arial"/>
      <w:b/>
      <w:bCs/>
      <w:i w:val="0"/>
      <w:iCs w:val="0"/>
      <w:smallCaps w:val="0"/>
      <w:strike w:val="0"/>
      <w:w w:val="70"/>
      <w:sz w:val="16"/>
      <w:szCs w:val="16"/>
      <w:u w:val="none"/>
    </w:rPr>
  </w:style>
  <w:style w:type="paragraph" w:customStyle="1" w:styleId="Style7">
    <w:name w:val="Body text|1"/>
    <w:basedOn w:val="Normal"/>
    <w:link w:val="CharStyle8"/>
    <w:pPr>
      <w:widowControl w:val="0"/>
      <w:shd w:val="clear" w:color="auto" w:fill="FFFFFF"/>
      <w:spacing w:after="420" w:line="300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10">
    <w:name w:val="Heading #1|1"/>
    <w:basedOn w:val="Normal"/>
    <w:link w:val="CharStyle11"/>
    <w:pPr>
      <w:widowControl w:val="0"/>
      <w:shd w:val="clear" w:color="auto" w:fill="FFFFFF"/>
      <w:jc w:val="center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12">
    <w:name w:val="Heading #2|1"/>
    <w:basedOn w:val="Normal"/>
    <w:link w:val="CharStyle13"/>
    <w:pPr>
      <w:widowControl w:val="0"/>
      <w:shd w:val="clear" w:color="auto" w:fill="FFFFFF"/>
      <w:spacing w:after="180" w:line="293" w:lineRule="auto"/>
      <w:outlineLvl w:val="1"/>
    </w:pPr>
    <w:rPr>
      <w:rFonts w:ascii="Arial" w:eastAsia="Arial" w:hAnsi="Arial" w:cs="Arial"/>
      <w:b/>
      <w:bCs/>
      <w:i w:val="0"/>
      <w:iCs w:val="0"/>
      <w:smallCaps w:val="0"/>
      <w:strike w:val="0"/>
      <w:sz w:val="18"/>
      <w:szCs w:val="18"/>
      <w:u w:val="none"/>
    </w:rPr>
  </w:style>
  <w:style w:type="paragraph" w:customStyle="1" w:styleId="Style14">
    <w:name w:val="Body text|2"/>
    <w:basedOn w:val="Normal"/>
    <w:link w:val="CharStyle15"/>
    <w:pPr>
      <w:widowControl w:val="0"/>
      <w:shd w:val="clear" w:color="auto" w:fill="FFFFFF"/>
      <w:spacing w:after="180" w:line="271" w:lineRule="auto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7">
    <w:name w:val="Body text|4"/>
    <w:basedOn w:val="Normal"/>
    <w:link w:val="CharStyle18"/>
    <w:pPr>
      <w:widowControl w:val="0"/>
      <w:shd w:val="clear" w:color="auto" w:fill="FFFFFF"/>
      <w:spacing w:after="520"/>
    </w:pPr>
    <w:rPr>
      <w:rFonts w:ascii="Arial" w:eastAsia="Arial" w:hAnsi="Arial" w:cs="Arial"/>
      <w:b/>
      <w:bCs/>
      <w:i w:val="0"/>
      <w:iCs w:val="0"/>
      <w:smallCaps w:val="0"/>
      <w:strike w:val="0"/>
      <w:w w:val="70"/>
      <w:sz w:val="16"/>
      <w:szCs w:val="16"/>
      <w:u w:val="none"/>
      <w:lang w:val="pt-PT" w:eastAsia="pt-PT" w:bidi="pt-PT"/>
    </w:rPr>
  </w:style>
  <w:style w:type="paragraph" w:customStyle="1" w:styleId="Style19">
    <w:name w:val="Body text|3"/>
    <w:basedOn w:val="Normal"/>
    <w:link w:val="CharStyle20"/>
    <w:pPr>
      <w:widowControl w:val="0"/>
      <w:shd w:val="clear" w:color="auto" w:fill="FFFFFF"/>
      <w:spacing w:line="295" w:lineRule="auto"/>
      <w:ind w:right="120"/>
      <w:jc w:val="center"/>
    </w:pPr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  <w:lang w:val="pt-PT" w:eastAsia="pt-PT" w:bidi="pt-PT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image" Target="media/image5.jpeg"/><Relationship Id="rId14" Type="http://schemas.openxmlformats.org/officeDocument/2006/relationships/image" Target="media/image5.jpeg" TargetMode="External"/><Relationship Id="rId15" Type="http://schemas.openxmlformats.org/officeDocument/2006/relationships/image" Target="media/image6.jpeg"/><Relationship Id="rId16" Type="http://schemas.openxmlformats.org/officeDocument/2006/relationships/image" Target="media/image6.jpeg" TargetMode="External"/><Relationship Id="rId17" Type="http://schemas.openxmlformats.org/officeDocument/2006/relationships/image" Target="media/image7.jpeg"/><Relationship Id="rId18" Type="http://schemas.openxmlformats.org/officeDocument/2006/relationships/image" Target="media/image7.jpeg" TargetMode="External"/><Relationship Id="rId19" Type="http://schemas.openxmlformats.org/officeDocument/2006/relationships/image" Target="media/image8.jpeg"/><Relationship Id="rId20" Type="http://schemas.openxmlformats.org/officeDocument/2006/relationships/image" Target="media/image8.jpeg" TargetMode="External"/><Relationship Id="rId21" Type="http://schemas.openxmlformats.org/officeDocument/2006/relationships/image" Target="media/image9.png"/><Relationship Id="rId22" Type="http://schemas.openxmlformats.org/officeDocument/2006/relationships/image" Target="media/image9.png" TargetMode="External"/><Relationship Id="rId23" Type="http://schemas.openxmlformats.org/officeDocument/2006/relationships/image" Target="media/image10.jpeg"/><Relationship Id="rId24" Type="http://schemas.openxmlformats.org/officeDocument/2006/relationships/image" Target="media/image10.jpeg" TargetMode="External"/><Relationship Id="rId25" Type="http://schemas.openxmlformats.org/officeDocument/2006/relationships/image" Target="media/image11.jpeg"/><Relationship Id="rId26" Type="http://schemas.openxmlformats.org/officeDocument/2006/relationships/image" Target="media/image11.jpeg" TargetMode="External"/><Relationship Id="rId27" Type="http://schemas.openxmlformats.org/officeDocument/2006/relationships/image" Target="media/image12.png"/><Relationship Id="rId28" Type="http://schemas.openxmlformats.org/officeDocument/2006/relationships/image" Target="media/image12.png" TargetMode="External"/><Relationship Id="rId29" Type="http://schemas.openxmlformats.org/officeDocument/2006/relationships/image" Target="media/image13.jpeg"/><Relationship Id="rId30" Type="http://schemas.openxmlformats.org/officeDocument/2006/relationships/image" Target="media/image13.jpeg" TargetMode="External"/><Relationship Id="rId31" Type="http://schemas.openxmlformats.org/officeDocument/2006/relationships/image" Target="media/image14.jpeg"/><Relationship Id="rId32" Type="http://schemas.openxmlformats.org/officeDocument/2006/relationships/image" Target="media/image14.jpeg" TargetMode="External"/></Relationships>
</file>