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: 005/2025- BORBAPREV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319" w:lineRule="auto"/>
        <w:ind w:left="426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CONTRATO DE PRESTAÇÃO DE SERVIÇOS ATUARIAIS, QUE ENTRE SI CELEBRAM O FUNDO DE PREVIDÊNCIA SOCIAL DE BORBA - BORBAPREV, E A EMPRESA RTM CONSULTORES ASSOCIADOS LTDA.-ME.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Pelo presente instrumento contratual, o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FUNDO MUNICIPAL DE PREVIDÊNCIA SOCIAL DE BORBA-BORBAPREV,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pessoa jurídica de direito público, devidamente inscrita no CNPJ/MF sob o n.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21.407.460/0001-09, com sede na Av.13 de maio 108, Centro, Borba - AM, CEP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69200- 000, neste ato representado por sua presidente, Sra. Maria de Fátima Nascimento dos Santos, brasileira, solteira, portador do CPF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007.***.592-11, residente e domiciliada na rua Bela Vista Três, S/N, bairro Bela Vista, CEP: 69.200-000, cidade Borba-AM, doravante designada simplesmente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a empresa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RTM CONSULTORES ASSOCIADOS LTDA-ME,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pessoa jurídica de direito privado, devidamente inscrita no CNPJ/MF sob 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22.911.238/0001-01, estabelecida a Rua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Queluzita,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34, sala 1401, bloco 02 - Tower, Bairro Dom Joaquim em Belo Horizonte/MG, CEP.:31.170.679, neste ato representado pelo sócio administrador Thiago Costa Fernandes, portador do CPF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075.***.186-01, e RG MG-12.1**.**!, residente e domiciliado em Belo Horizonte - MG, doravante denominado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CONTRATADO,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conformidade da LEI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9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14.133/2021, resolvem firmar o presente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mediante as seguintes cláusulas e condições: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312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I - DO OBJETO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31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objeto do presente Contrato consiste em prestação de serviços atuariais: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31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Atividades a serem desenvolvidas para a realização da Avaliação Atuarial e preenchimento do Demonstrativo de Resultados da Avaliação Atuarial (DRAA), de 2025,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ano-base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2024, serão as seguintes,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1" w:val="left"/>
        </w:tabs>
        <w:bidi w:val="0"/>
        <w:spacing w:before="0" w:after="0" w:line="310" w:lineRule="auto"/>
        <w:ind w:left="1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Enviar layout para que o responsável da Unidade Gestora faça a coleta de dados dos servidores ativos, aposentados e pensionistas que comporão a base de informação para realização da avaliação atuarial.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51" w:val="left"/>
        </w:tabs>
        <w:bidi w:val="0"/>
        <w:spacing w:before="0" w:after="420" w:line="319" w:lineRule="auto"/>
        <w:ind w:left="1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Analisar a base de dados enviada, promovendo crítica de seu conteúdo, verificando possíveis distorções no conteúdo de dados e informações, objetivando aprimorar as informações e os dados remetidos, de forma que a avaliação atuarial apresente resultados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280" w:right="0" w:firstLine="0"/>
        <w:jc w:val="lef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6274435</wp:posOffset>
            </wp:positionH>
            <wp:positionV relativeFrom="paragraph">
              <wp:posOffset>38100</wp:posOffset>
            </wp:positionV>
            <wp:extent cx="518160" cy="43878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n“ 108, Centro - CEP: 69.200-000 / Borba-AM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35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Fone: (92) 99602-0911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3160" w:right="0" w:firstLine="0"/>
        <w:jc w:val="lef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015" w:left="1745" w:right="1567" w:bottom="1345" w:header="0" w:footer="917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rpps(õ&gt;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borbaprev.com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mais reais do ponto de vista técnico, como forma de se buscar o equilíbrio atuarial e financeiro do regime previdenciário;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0" w:val="left"/>
        </w:tabs>
        <w:bidi w:val="0"/>
        <w:spacing w:before="0" w:after="0" w:line="3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Apurar as reservas Matemáticas correspondentes, bem como estabelecer o Plano de Custeio para o próximo exercício, promovendo-se a adequação da legislação local com a correta implementação do prazo máximo do plano de amortização permitido por lei, estabelecendo definições entre alíquotas e aportes;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0" w:val="left"/>
        </w:tabs>
        <w:bidi w:val="0"/>
        <w:spacing w:before="0" w:after="0" w:line="3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Revisão de todo o plano de custeio, visando o equilíbrio financeiro e atuarial, verificando se as alíquotas de contribuição atualmente praticadas garantem uma solvência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longo-prazo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 sistema, permitindo assim a verificação da situação atual e as projeções de comportamento futuro do plano previdenciário, bem como maior probabilidade de implementação de medidas eficazes de reforma, se necessário;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0" w:val="left"/>
        </w:tabs>
        <w:bidi w:val="0"/>
        <w:spacing w:before="0" w:after="0" w:line="3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Elaboração do Relatório de Avaliação Atuarial contendo, no mínimo, os seguintes estudos: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9" w:val="left"/>
        </w:tabs>
        <w:bidi w:val="0"/>
        <w:spacing w:before="0" w:after="0" w:line="322" w:lineRule="auto"/>
        <w:ind w:left="80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Relação de todas as bases técnicas e premissas atuariais que foram utilizadas para a avaliação atuarial;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9" w:val="left"/>
        </w:tabs>
        <w:bidi w:val="0"/>
        <w:spacing w:before="0" w:after="0" w:line="322" w:lineRule="auto"/>
        <w:ind w:left="80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Descrição de toda a legislação utilizada para a realização do Cálculo Atuarial;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9" w:val="left"/>
        </w:tabs>
        <w:bidi w:val="0"/>
        <w:spacing w:before="0" w:after="0" w:line="322" w:lineRule="auto"/>
        <w:ind w:left="80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Estudo estatístico detalhado do grupo de servidores ativos, aposentados e pensionistas, com gráficos e tabelas explicativas, discorrendo sobre a influência destas variáveis estatísticas no resultado previdenciário;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9" w:val="left"/>
        </w:tabs>
        <w:bidi w:val="0"/>
        <w:spacing w:before="0" w:after="0" w:line="322" w:lineRule="auto"/>
        <w:ind w:left="80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Relação de benefícios previstos no plano, a serem concedidos aos participantes do Regime Próprio de Previdência;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9" w:val="left"/>
        </w:tabs>
        <w:bidi w:val="0"/>
        <w:spacing w:before="0" w:after="0" w:line="322" w:lineRule="auto"/>
        <w:ind w:left="80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Cálculo das reservas matemáticas com a descrição dos resultados da avaliação atuarial, considerando as modelagens de financiamento das despesas previdenciárias;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9" w:val="left"/>
        </w:tabs>
        <w:bidi w:val="0"/>
        <w:spacing w:before="0" w:after="0" w:line="322" w:lineRule="auto"/>
        <w:ind w:left="80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Parecer atuarial que discorrerá sobre a atual situação do Regime Próprio de Previdência; sobre a qualidade da base de dados; as atuais alíquotas de contribuição e as propostas pelo estudo e sugestão de qual é, na opinião da contratada, a melhor forma de financiamento do custo previdenciário;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9" w:val="left"/>
        </w:tabs>
        <w:bidi w:val="0"/>
        <w:spacing w:before="0" w:after="600" w:line="322" w:lineRule="auto"/>
        <w:ind w:left="80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Projeção Atuarial de receitas e despesas previdenciárias;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0" w:val="left"/>
        </w:tabs>
        <w:bidi w:val="0"/>
        <w:spacing w:before="0" w:after="0" w:line="312" w:lineRule="auto"/>
        <w:ind w:left="640" w:right="0" w:hanging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Desenvolver o demonstrativo das Projeções Atuariais Previdenciárias, para os próximos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6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35 anos, com finalidade de atender o Art. 53 §1, Inciso II da Lei de Responsabilidade Fiscal;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0" w:val="left"/>
        </w:tabs>
        <w:bidi w:val="0"/>
        <w:spacing w:before="0" w:after="0" w:line="312" w:lineRule="auto"/>
        <w:ind w:left="640" w:right="0" w:hanging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Síntese dos resultados da avaliação atuarial do fluxo financeiro do fundo de previdência para os próximos 75 (setenta e cinco) anos;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0" w:val="left"/>
        </w:tabs>
        <w:bidi w:val="0"/>
        <w:spacing w:before="0" w:after="0" w:line="305" w:lineRule="auto"/>
        <w:ind w:left="640" w:right="0" w:hanging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Preencher e enviar o DRAA - Demonstrativo do Resultado de Avaliação Atuarial do exercício 2025 e exercício 2024;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580" w:val="left"/>
        </w:tabs>
        <w:bidi w:val="0"/>
        <w:spacing w:before="0" w:after="80" w:line="298" w:lineRule="auto"/>
        <w:ind w:left="640" w:right="0" w:hanging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Elaborar Nota técnica atuarial; que tem por objetivo estabelecer as bases técnicas, estatísticas e atuariais a serem aplicadas nos cálculos das reservas técnicas e contribuições;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— BORBAPREV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n” 108, Centro —CEP: 69.200-000 / Borba-AM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Fone: (92) 99602-0911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982" w:left="1906" w:right="1541" w:bottom="138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4" w:val="left"/>
        </w:tabs>
        <w:bidi w:val="0"/>
        <w:spacing w:before="0" w:after="0" w:line="322" w:lineRule="auto"/>
        <w:ind w:left="7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Atender ao RPPS em resposta às notificações efetivadas pela SPREV ou TCEAM em relação a Avaliação Atuarial e DDRA a qualquer tempo, visando à orientação, emissão de esclarecimentos e aconselhamento para nortear e balizar os atos, decisões e procedimentos do Instituto de Previdência que tenham aderência ao objeto deste Termo de Referência;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4" w:val="left"/>
        </w:tabs>
        <w:bidi w:val="0"/>
        <w:spacing w:before="0" w:after="0" w:line="322" w:lineRule="auto"/>
        <w:ind w:left="7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Apresentação aos dirigentes e conselheiros, via Teams ou outra plataforma on-line, em data a ser acordada entre as partes, do relatório final de Avaliação Atuarial, explicitando a atual realidade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financeira-atuarial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Regime Próprio de Previdência Social.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4" w:val="left"/>
        </w:tabs>
        <w:bidi w:val="0"/>
        <w:spacing w:before="0" w:after="600" w:line="322" w:lineRule="auto"/>
        <w:ind w:left="7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Após a conclusão dos serviços será encaminhado à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BORBAPREV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reavaliação atuarial 2025 em PDF via correio Eletrônico.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40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II - DO PREÇO, REAJUSTE E FORMA DE PAGAMENTO.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Pela prestação dos serviços contratados, nos termos da Cláusula Primeira, o Contratante pagará ao Contratado parcela única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R$ 6.350,00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(Seis mil trezentos e cinquenta reais)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valor engloba todo e qualquer custo ou despesa, direta ou indireta, a ser incorrida pelo Contratado para a prestação dos serviços contratados.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valor será pago até o 5 (cinco) dias úteis após o envio da nota fiscal.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31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caso de atraso no pagamento, o Contratante pagará multa de 2% do valor, sem prejuízo de juros de mora de 1% ao mês e correção monetária pelo IPCA, tudo calculado a partir da data de vencimento até o efetivo pagamento.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40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III - DA VIGÊNCIA E CONDIÇÕES DOS TERMOS DO CONTRATO</w:t>
      </w:r>
      <w:bookmarkEnd w:id="3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Contrato terá validade pelo prazo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12 (doze) meses, com início na data de assinatura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presente contrato e poderá ser prorrogado nos termos da Lei 14.133/2021.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recusa injustificada 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adjudicatório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assina ou retirar o instrumento equivalente dentro do prazo estabelecido sujeitará as penalidades estabelecidas na Lei 14.133/2021.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1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Contratado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obrigar-se-á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desenvolver a prestação dos serviços objeto deste contrato sempre em regime de atendimento, com fiscalização do Contratante, dispondo este para atuar no sentido do cumprimento deste contrato.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40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IV- DA DOTAÇÃO ORÇAMENTÁRIA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31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decorrentes da execução do presente Contrato correrão pela seguinte dotação orçamentária: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40" w:line="240" w:lineRule="auto"/>
        <w:ind w:left="0" w:right="300" w:firstLine="0"/>
        <w:jc w:val="center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2986" w:left="1769" w:right="1553" w:bottom="18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3122930</wp:posOffset>
                </wp:positionH>
                <wp:positionV relativeFrom="paragraph">
                  <wp:posOffset>228600</wp:posOffset>
                </wp:positionV>
                <wp:extent cx="1463040" cy="274320"/>
                <wp:wrapSquare wrapText="bothSides"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30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Fone: (92) 99602-0911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E-MAIL: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rpps(ã&gt;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borbaprev.com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45.90000000000001pt;margin-top:18.pt;width:115.2pt;height:21.600000000000001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Fone: (92) 99602-0911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E-MAIL: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rpps(ã&gt;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borbaprev.com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 BORBAPREV</w:t>
        <w:br/>
        <w:t>Avenida 13 de Maio, n" 108, Centro-CEP: 69.200-000 / Borba-AM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 Orçamentaria: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06.01: Fundo Municipal de Previdência.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Projeto/Atividade: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09.122.0011.2.047: Encargos com BORBAPREV.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Natureza da Despesa: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3.3.90.39.00: Outros Serviços de Terceiros - Pessoa Jurídica.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 de Recurso: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2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802 - BORBAPREV - RPPS.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/>
        <w:ind w:left="240" w:right="0" w:firstLine="2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V - OBRIGAÇÕES DO CONTRATADO</w:t>
      </w:r>
      <w:bookmarkEnd w:id="5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/>
        <w:ind w:left="2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obrigações exclusivas do Contratado: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04" w:val="left"/>
        </w:tabs>
        <w:bidi w:val="0"/>
        <w:spacing w:before="0" w:after="160"/>
        <w:ind w:left="2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Realizar o trabalho dentro do prazo previsto;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94" w:val="left"/>
        </w:tabs>
        <w:bidi w:val="0"/>
        <w:spacing w:before="0" w:after="160" w:line="312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o total sigilo dos dados obtidos e das negociações que vier a participar, ficando responsável por qualquer divulgação sem à prévia autorização do RPPS;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 w:line="322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direitos decorrentes deste Contrato não poderão ser cedidos por qualquer das partes sem a autorização prévia e expressa da outra.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322" w:lineRule="auto"/>
        <w:ind w:left="240" w:right="0" w:firstLine="2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VI - OBRIGAÇÕES DO CONTRATANTE</w:t>
      </w:r>
      <w:bookmarkEnd w:id="6"/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94" w:val="left"/>
        </w:tabs>
        <w:bidi w:val="0"/>
        <w:spacing w:before="0" w:after="160" w:line="322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Gestor do RPPS ou do ente federado designará um responsável para participar, em regime de tempo integral, como contraparte da RTM Consultores Associados em todas as etapas dos trabalhos;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89" w:val="left"/>
        </w:tabs>
        <w:bidi w:val="0"/>
        <w:spacing w:before="0" w:after="160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Facilitar o acesso ao Gestor de Recursos Humanos, a fim de possibilitar a obtenção dos dados necessários à execução dos trabalhos;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89" w:val="left"/>
        </w:tabs>
        <w:bidi w:val="0"/>
        <w:spacing w:before="0" w:after="160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Realizar o pagamento acertado com a RTM Consultores Associados nas condições e datas previstas;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94" w:val="left"/>
        </w:tabs>
        <w:bidi w:val="0"/>
        <w:spacing w:before="0" w:after="160" w:line="322" w:lineRule="auto"/>
        <w:ind w:left="2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Atestar ao final do trabalho, por escrito,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cumprimento do presente contrato pela RTM Consultores Associados, quanto à qualidade do serviço e às obrigações assumidas.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322" w:lineRule="auto"/>
        <w:ind w:left="240" w:right="0" w:firstLine="2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VII - DAS DISPOSIÇÕES GERAIS E DO FORO</w:t>
      </w:r>
      <w:bookmarkEnd w:id="7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322" w:lineRule="auto"/>
        <w:ind w:left="2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omissões constantes no presente Contrato serão resolvidas com vista na Lei 14.133/2021.</w:t>
      </w:r>
    </w:p>
    <w:p>
      <w:pPr>
        <w:pStyle w:val="Style1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33" w:lineRule="auto"/>
        <w:ind w:left="25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3780" w:right="2200" w:hanging="13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n” 108, Centro - CEP: 69.200-000 / Borba-AM Fone: (92) 99602-0911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33" w:lineRule="auto"/>
        <w:ind w:left="6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3010" w:left="1527" w:right="1229" w:bottom="138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rppsfSborbaprev.com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31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eleito □ Foro da Comarca de BORBA - AM para dirimir quaisquer dúvidas oriundas do presente contrato.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322" w:lineRule="auto"/>
        <w:ind w:left="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por estarem justos e contratados, as partes firmam o presente contrato em 02 (duas) vias de igual forma e teor, com 02 (duas) testemunhas a tudo presentes.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2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4037330</wp:posOffset>
                </wp:positionH>
                <wp:positionV relativeFrom="paragraph">
                  <wp:posOffset>368300</wp:posOffset>
                </wp:positionV>
                <wp:extent cx="606425" cy="396240"/>
                <wp:wrapSquare wrapText="right"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THIAGO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COSTA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317.89999999999998pt;margin-top:29.pt;width:47.75pt;height:31.19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THIAGO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COSTA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Borba, AM, 31 de janeiro de 2025.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660" w:right="76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Assinado deforma digital por TH IAGO COSTA FERNANDES:0757081860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FERNANDES:07 ’</w:t>
      </w:r>
      <w:bookmarkEnd w:id="9"/>
    </w:p>
    <w:p>
      <w:pPr>
        <w:pStyle w:val="Style23"/>
        <w:keepNext w:val="0"/>
        <w:keepLines w:val="0"/>
        <w:widowControl w:val="0"/>
        <w:shd w:val="clear" w:color="auto" w:fill="auto"/>
        <w:tabs>
          <w:tab w:pos="996" w:val="left"/>
          <w:tab w:pos="1946" w:val="left"/>
          <w:tab w:pos="3972" w:val="left"/>
          <w:tab w:pos="6646" w:val="left"/>
          <w:tab w:leader="dot" w:pos="7111" w:val="left"/>
        </w:tabs>
        <w:bidi w:val="0"/>
        <w:spacing w:before="0" w:after="0" w:line="254" w:lineRule="auto"/>
        <w:ind w:left="900" w:right="1260" w:firstLine="60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Dados: 2025.01.31 </w:t>
      </w:r>
      <w:r>
        <w:rPr>
          <w:i/>
          <w:iCs/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i/>
          <w:iCs/>
          <w:color w:val="797FC1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ab/>
        <w:t>]/'■!'</w:t>
        <w:tab/>
        <w:t xml:space="preserve">1 </w:t>
      </w:r>
      <w:r>
        <w:rPr>
          <w:rFonts w:ascii="Times New Roman" w:eastAsia="Times New Roman" w:hAnsi="Times New Roman" w:cs="Times New Roman"/>
          <w:i/>
          <w:iCs/>
          <w:color w:val="797FC1"/>
          <w:spacing w:val="0"/>
          <w:w w:val="100"/>
          <w:position w:val="0"/>
          <w:sz w:val="22"/>
          <w:szCs w:val="22"/>
          <w:shd w:val="clear" w:color="auto" w:fill="auto"/>
          <w:vertAlign w:val="subscript"/>
          <w:lang w:val="pt-BR" w:eastAsia="pt-BR" w:bidi="pt-BR"/>
        </w:rPr>
        <w:t>t</w:t>
      </w:r>
      <w:r>
        <w:rPr>
          <w:rFonts w:ascii="Times New Roman" w:eastAsia="Times New Roman" w:hAnsi="Times New Roman" w:cs="Times New Roman"/>
          <w:i/>
          <w:iCs/>
          <w:color w:val="797FC1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</w:t>
      </w:r>
      <w:r>
        <w:rPr>
          <w:color w:val="797FC1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J-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570818601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12:14:24^3-00'</w:t>
      </w:r>
    </w:p>
    <w:p>
      <w:pPr>
        <w:pStyle w:val="Style30"/>
        <w:keepNext/>
        <w:keepLines/>
        <w:widowControl w:val="0"/>
        <w:shd w:val="clear" w:color="auto" w:fill="auto"/>
        <w:tabs>
          <w:tab w:pos="4907" w:val="left"/>
          <w:tab w:pos="8099" w:val="left"/>
        </w:tabs>
        <w:bidi w:val="0"/>
        <w:spacing w:before="0" w:after="0"/>
        <w:ind w:right="0" w:firstLine="0"/>
        <w:jc w:val="both"/>
      </w:pPr>
      <w:bookmarkStart w:id="10" w:name="bookmark1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dl</w:t>
      </w:r>
      <w:r>
        <w:rPr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t xml:space="preserve"> </w:t>
        <w:tab/>
      </w:r>
      <w:bookmarkEnd w:id="10"/>
    </w:p>
    <w:p>
      <w:pPr>
        <w:pStyle w:val="Style8"/>
        <w:keepNext w:val="0"/>
        <w:keepLines w:val="0"/>
        <w:widowControl w:val="0"/>
        <w:shd w:val="clear" w:color="auto" w:fill="auto"/>
        <w:tabs>
          <w:tab w:pos="5528" w:val="left"/>
        </w:tabs>
        <w:bidi w:val="0"/>
        <w:spacing w:before="0" w:after="0" w:line="240" w:lineRule="auto"/>
        <w:ind w:left="11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N. dos Santos</w:t>
        <w:tab/>
        <w:t>Thiago Costa Fernandes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5528" w:val="left"/>
        </w:tabs>
        <w:bidi w:val="0"/>
        <w:spacing w:before="0" w:after="0" w:line="240" w:lineRule="auto"/>
        <w:ind w:left="13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  <w:tab/>
        <w:t>Sócio Administrador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0" distL="0" distR="0" simplePos="0" relativeHeight="125829383" behindDoc="0" locked="0" layoutInCell="1" allowOverlap="1">
                <wp:simplePos x="0" y="0"/>
                <wp:positionH relativeFrom="page">
                  <wp:posOffset>1519555</wp:posOffset>
                </wp:positionH>
                <wp:positionV relativeFrom="paragraph">
                  <wp:posOffset>3175</wp:posOffset>
                </wp:positionV>
                <wp:extent cx="2096770" cy="502920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6770" cy="502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Dec. n? 0051/2025-GPMB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 RPPS DIRIG-I (526403980612901)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CONTRATANTE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119.65000000000001pt;margin-top:0.25pt;width:165.09999999999999pt;height:39.600000000000001pt;z-index:-125829370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Dec. n? 0051/2025-GPMB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CP RPPS DIRIG-I (526403980612901)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46685" distL="0" distR="0" simplePos="0" relativeHeight="125829385" behindDoc="0" locked="0" layoutInCell="1" allowOverlap="1">
                <wp:simplePos x="0" y="0"/>
                <wp:positionH relativeFrom="page">
                  <wp:posOffset>3991610</wp:posOffset>
                </wp:positionH>
                <wp:positionV relativeFrom="paragraph">
                  <wp:posOffset>0</wp:posOffset>
                </wp:positionV>
                <wp:extent cx="2225040" cy="35941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504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RTM Consultores Associados Ltda.-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</w:t>
                              <w:br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CONTRATADO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314.30000000000001pt;margin-top:0;width:175.19999999999999pt;height:28.300000000000001pt;z-index:-125829368;mso-wrap-distance-left:0;mso-wrap-distance-right:0;mso-wrap-distance-bottom:11.5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RTM Consultores Associados Ltda.-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</w:t>
                        <w:br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CONTRATADO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70" w:left="1496" w:right="1261" w:bottom="1381" w:header="0" w:footer="3" w:gutter="0"/>
          <w:cols w:space="720"/>
          <w:noEndnote/>
          <w:rtlGutter w:val="0"/>
          <w:docGrid w:linePitch="360"/>
        </w:sectPr>
      </w:pPr>
      <w:r>
        <w:drawing>
          <wp:anchor distT="927100" distB="460375" distL="0" distR="0" simplePos="0" relativeHeight="125829387" behindDoc="0" locked="0" layoutInCell="1" allowOverlap="1">
            <wp:simplePos x="0" y="0"/>
            <wp:positionH relativeFrom="page">
              <wp:posOffset>1373505</wp:posOffset>
            </wp:positionH>
            <wp:positionV relativeFrom="paragraph">
              <wp:posOffset>927100</wp:posOffset>
            </wp:positionV>
            <wp:extent cx="5449570" cy="822960"/>
            <wp:wrapTopAndBottom/>
            <wp:docPr id="42" name="Shap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5449570" cy="8229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972310" distB="635" distL="0" distR="0" simplePos="0" relativeHeight="125829388" behindDoc="0" locked="0" layoutInCell="1" allowOverlap="1">
                <wp:simplePos x="0" y="0"/>
                <wp:positionH relativeFrom="page">
                  <wp:posOffset>1373505</wp:posOffset>
                </wp:positionH>
                <wp:positionV relativeFrom="paragraph">
                  <wp:posOffset>1972310</wp:posOffset>
                </wp:positionV>
                <wp:extent cx="1624330" cy="237490"/>
                <wp:wrapTopAndBottom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433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80" w:after="0" w:line="240" w:lineRule="auto"/>
                              <w:ind w:left="0" w:right="0" w:firstLine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CPF: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797FC1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33.2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108.15000000000001pt;margin-top:155.30000000000001pt;width:127.90000000000001pt;height:18.699999999999999pt;z-index:-125829365;mso-wrap-distance-left:0;mso-wrap-distance-top:155.3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80" w:after="0" w:line="240" w:lineRule="auto"/>
                        <w:ind w:left="0" w:right="0" w:firstLine="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CPF: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797FC1"/>
                          <w:spacing w:val="0"/>
                          <w:w w:val="100"/>
                          <w:position w:val="0"/>
                          <w:sz w:val="22"/>
                          <w:szCs w:val="22"/>
                          <w:u w:val="single"/>
                          <w:shd w:val="clear" w:color="auto" w:fill="auto"/>
                          <w:lang w:val="pt-BR" w:eastAsia="pt-BR" w:bidi="pt-BR"/>
                        </w:rPr>
                        <w:t>33.2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05965" distB="0" distL="0" distR="0" simplePos="0" relativeHeight="125829390" behindDoc="0" locked="0" layoutInCell="1" allowOverlap="1">
                <wp:simplePos x="0" y="0"/>
                <wp:positionH relativeFrom="page">
                  <wp:posOffset>3896995</wp:posOffset>
                </wp:positionH>
                <wp:positionV relativeFrom="paragraph">
                  <wp:posOffset>2005965</wp:posOffset>
                </wp:positionV>
                <wp:extent cx="2401570" cy="204470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15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1704" w:val="left"/>
                                <w:tab w:pos="373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CPF: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797FC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102 O</w:t>
                            </w:r>
                            <w:r>
                              <w:rPr>
                                <w:i/>
                                <w:i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  <w:tab/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306.85000000000002pt;margin-top:157.94999999999999pt;width:189.09999999999999pt;height:16.100000000000001pt;z-index:-125829363;mso-wrap-distance-left:0;mso-wrap-distance-top:157.94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1704" w:val="left"/>
                          <w:tab w:pos="373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4"/>
                          <w:szCs w:val="24"/>
                        </w:rPr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CPF: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797FC1"/>
                          <w:spacing w:val="0"/>
                          <w:w w:val="100"/>
                          <w:position w:val="0"/>
                          <w:sz w:val="24"/>
                          <w:szCs w:val="24"/>
                          <w:u w:val="single"/>
                          <w:shd w:val="clear" w:color="auto" w:fill="auto"/>
                          <w:lang w:val="pt-BR" w:eastAsia="pt-BR" w:bidi="pt-BR"/>
                        </w:rPr>
                        <w:t>102 O</w:t>
                      </w:r>
                      <w:r>
                        <w:rPr>
                          <w:i/>
                          <w:iCs/>
                          <w:sz w:val="19"/>
                          <w:szCs w:val="19"/>
                          <w:u w:val="single"/>
                        </w:rPr>
                        <w:t xml:space="preserve"> </w:t>
                        <w:tab/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70" w:left="0" w:right="0" w:bottom="138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914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8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 BORBAPREV</w:t>
        <w:br/>
        <w:t>Avenida 13 de Maio, n” 108, Centro - CEP: 69.200-000 / Borba-AM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Fone: (92) 99602-0911</w:t>
        <w:br/>
        <w:t xml:space="preserve">E-MAIL: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rpps(5)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borbaprev.com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970" w:left="1496" w:right="1261" w:bottom="138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6388735</wp:posOffset>
              </wp:positionH>
              <wp:positionV relativeFrom="page">
                <wp:posOffset>9248140</wp:posOffset>
              </wp:positionV>
              <wp:extent cx="490855" cy="55181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0855" cy="551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54990"/>
                                <wp:docPr id="15" name="Picutre 1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5549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03.05000000000001pt;margin-top:728.20000000000005pt;width:38.649999999999999pt;height:43.450000000000003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54990"/>
                          <wp:docPr id="17" name="Picutre 1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5549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6501765</wp:posOffset>
              </wp:positionH>
              <wp:positionV relativeFrom="page">
                <wp:posOffset>9851390</wp:posOffset>
              </wp:positionV>
              <wp:extent cx="57785" cy="9144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11.94999999999999pt;margin-top:775.70000000000005pt;width:4.5499999999999998pt;height:7.2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6558280</wp:posOffset>
              </wp:positionH>
              <wp:positionV relativeFrom="page">
                <wp:posOffset>9307830</wp:posOffset>
              </wp:positionV>
              <wp:extent cx="438785" cy="48133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8785" cy="481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38785" cy="481330"/>
                                <wp:docPr id="29" name="Picutre 2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" name="Picture 2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38785" cy="4813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16.39999999999998pt;margin-top:732.89999999999998pt;width:34.549999999999997pt;height:37.899999999999999pt;z-index:-1887440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38785" cy="481330"/>
                          <wp:docPr id="31" name="Picutre 3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1" name="Picture 3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38785" cy="4813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6494145</wp:posOffset>
              </wp:positionH>
              <wp:positionV relativeFrom="page">
                <wp:posOffset>9856470</wp:posOffset>
              </wp:positionV>
              <wp:extent cx="57785" cy="88265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511.35000000000002pt;margin-top:776.10000000000002pt;width:4.5499999999999998pt;height:6.9500000000000002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3461385</wp:posOffset>
              </wp:positionH>
              <wp:positionV relativeFrom="page">
                <wp:posOffset>445770</wp:posOffset>
              </wp:positionV>
              <wp:extent cx="631190" cy="977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72.55000000000001pt;margin-top:35.100000000000001pt;width:49.700000000000003pt;height:7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3528060</wp:posOffset>
              </wp:positionH>
              <wp:positionV relativeFrom="page">
                <wp:posOffset>561340</wp:posOffset>
              </wp:positionV>
              <wp:extent cx="514985" cy="5422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542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18160" cy="542290"/>
                                <wp:docPr id="6" name="Picutre 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18160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277.80000000000001pt;margin-top:44.200000000000003pt;width:40.549999999999997pt;height:42.700000000000003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18160" cy="542290"/>
                          <wp:docPr id="8" name="Picutre 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18160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1681480</wp:posOffset>
              </wp:positionH>
              <wp:positionV relativeFrom="page">
                <wp:posOffset>1362710</wp:posOffset>
              </wp:positionV>
              <wp:extent cx="4285615" cy="3111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5615" cy="311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32.40000000000001pt;margin-top:107.3pt;width:337.44999999999999pt;height:24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1691640</wp:posOffset>
              </wp:positionH>
              <wp:positionV relativeFrom="page">
                <wp:posOffset>1347470</wp:posOffset>
              </wp:positionV>
              <wp:extent cx="4288790" cy="3111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8790" cy="311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33.19999999999999pt;margin-top:106.09999999999999pt;width:337.69999999999999pt;height:24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1109980</wp:posOffset>
              </wp:positionH>
              <wp:positionV relativeFrom="page">
                <wp:posOffset>1705610</wp:posOffset>
              </wp:positionV>
              <wp:extent cx="5443855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438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7.400000000000006pt;margin-top:134.30000000000001pt;width:428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3455035</wp:posOffset>
              </wp:positionH>
              <wp:positionV relativeFrom="page">
                <wp:posOffset>425450</wp:posOffset>
              </wp:positionV>
              <wp:extent cx="631190" cy="9779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272.05000000000001pt;margin-top:33.5pt;width:49.700000000000003pt;height:7.70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3531235</wp:posOffset>
              </wp:positionH>
              <wp:positionV relativeFrom="page">
                <wp:posOffset>547370</wp:posOffset>
              </wp:positionV>
              <wp:extent cx="509270" cy="53975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9270" cy="539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11810" cy="542290"/>
                                <wp:docPr id="23" name="Picutre 2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11810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278.05000000000001pt;margin-top:43.100000000000001pt;width:40.100000000000001pt;height:42.5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11810" cy="542290"/>
                          <wp:docPr id="25" name="Picutre 2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11810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1678305</wp:posOffset>
              </wp:positionH>
              <wp:positionV relativeFrom="page">
                <wp:posOffset>1343025</wp:posOffset>
              </wp:positionV>
              <wp:extent cx="4288790" cy="31115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8790" cy="311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132.15000000000001pt;margin-top:105.75pt;width:337.69999999999999pt;height:24.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4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3">
    <w:name w:val="Body text|2_"/>
    <w:basedOn w:val="DefaultParagraphFont"/>
    <w:link w:val="Style12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Body text|4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Heading #2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4">
    <w:name w:val="Body text|3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6">
    <w:name w:val="Heading #3|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1">
    <w:name w:val="Heading #1|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797FC1"/>
      <w:sz w:val="28"/>
      <w:szCs w:val="28"/>
      <w:u w:val="single"/>
    </w:rPr>
  </w:style>
  <w:style w:type="paragraph" w:customStyle="1" w:styleId="Style2">
    <w:name w:val="Heading #4|1"/>
    <w:basedOn w:val="Normal"/>
    <w:link w:val="CharStyle3"/>
    <w:pPr>
      <w:widowControl w:val="0"/>
      <w:shd w:val="clear" w:color="auto" w:fill="FFFFFF"/>
      <w:spacing w:after="160" w:line="317" w:lineRule="auto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140" w:line="31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jc w:val="center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6">
    <w:name w:val="Body text|4"/>
    <w:basedOn w:val="Normal"/>
    <w:link w:val="CharStyle17"/>
    <w:pPr>
      <w:widowControl w:val="0"/>
      <w:shd w:val="clear" w:color="auto" w:fill="FFFFFF"/>
      <w:spacing w:after="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Heading #2|1"/>
    <w:basedOn w:val="Normal"/>
    <w:link w:val="CharStyle20"/>
    <w:pPr>
      <w:widowControl w:val="0"/>
      <w:shd w:val="clear" w:color="auto" w:fill="FFFFFF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  <w:spacing w:line="281" w:lineRule="auto"/>
      <w:ind w:left="780" w:right="1010" w:firstLine="30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5">
    <w:name w:val="Heading #3|1"/>
    <w:basedOn w:val="Normal"/>
    <w:link w:val="CharStyle26"/>
    <w:pPr>
      <w:widowControl w:val="0"/>
      <w:shd w:val="clear" w:color="auto" w:fill="FFFFFF"/>
      <w:ind w:left="490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0">
    <w:name w:val="Heading #1|1"/>
    <w:basedOn w:val="Normal"/>
    <w:link w:val="CharStyle31"/>
    <w:pPr>
      <w:widowControl w:val="0"/>
      <w:shd w:val="clear" w:color="auto" w:fill="FFFFFF"/>
      <w:spacing w:line="180" w:lineRule="auto"/>
      <w:ind w:left="18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97FC1"/>
      <w:sz w:val="28"/>
      <w:szCs w:val="28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header" Target="header3.xml"/><Relationship Id="rId11" Type="http://schemas.openxmlformats.org/officeDocument/2006/relationships/footer" Target="footer2.xml"/><Relationship Id="rId12" Type="http://schemas.openxmlformats.org/officeDocument/2006/relationships/image" Target="media/image6.jpeg"/><Relationship Id="rId13" Type="http://schemas.openxmlformats.org/officeDocument/2006/relationships/image" Target="media/image6.jpeg" TargetMode=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