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5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CONTRATO N2 002/2025-BORBAPREV.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307" w:lineRule="auto"/>
        <w:ind w:left="398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Contrato n° 002/2025, contratação de empresa para prestação de serviço aquisição de Sistema Integrado de Contabilidade Pública, no que se refere a Gestão e controle dos financeiros, almoxarifado e patrimonial. Firmada entre o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Fundo Municipal de Previdência Social de Borba -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BORBAPREV e a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FIORILLI SOFTWARE LTDA,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na forma a seguir: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305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Aos trinta (31) dias do mês de janeiro do ano de dois mil e cinco (2025), nesta cidade de Borba, no Estado do Amazonas, na sala do BORBAPREV, presentes o Fundo Municipal de Previdência Social - BORBAPREV, inscrito no CNPJ/MF sob o N° 21.407.460/0001-09, localizado na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Avenida 13 de Maio, 108, Centro, Borba-Am,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doravante designada simplesmente CONTRATANTE, neste ato representado por seu Titular, Presidente a Senhora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MARIA DE FÁTIMA NASCIMENTO DOS SANTOS,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brasileira, residente e domiciliado nesta cidade, no Bairro: Bela Vista,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69.200-000 portador do CPF N° 007.305.592-11 e a Firma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FIORILLI SOFTWARE LTDA,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daqui por diante denominada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CONTRATADO,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sediada na cidade de BALSAMO/SP, inscrita no CNPJ/MF sob o n°. 01.704.233/001-38, neste ato representado por seu Representante Legal o Senhor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JOSE ROBERTO FIORILLI,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brasileiro, portador do RG N°. 5.146.225-4 e do CPF n°.476.609.378- 04, residente e domiciliado na Avenida Anísio Haddad, n° 8205 na cidade de São Jose do Rio Preto/SP, e do despacho autorizativo exarado pela Presidente do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BORBAPREV,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na presença das testemunhas adiante nominadas, é assinado o presente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CONTRATO N° 002/2025,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que se regerá pelas normas da Lei n°. 14.133/2021 e suas alterações posteriores e pelas cláusulas e condições seguintes: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CLÁUSULA PRIMEIRA: OBJETO.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2646" w:left="1263" w:right="1057" w:bottom="2885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Constitui objeto deste contrato o licenciamento de uso de Programas ou Sistemas para a Administração Pública Municipal, e o treinamento dos técnicos municipais para a execução dos seguintes serviços:</w:t>
      </w:r>
    </w:p>
    <w:p>
      <w:pPr>
        <w:widowControl w:val="0"/>
        <w:spacing w:line="1" w:lineRule="exact"/>
      </w:pPr>
      <w:r>
        <w:drawing>
          <wp:anchor distT="182880" distB="542290" distL="97790" distR="106680" simplePos="0" relativeHeight="125829378" behindDoc="0" locked="0" layoutInCell="1" allowOverlap="1">
            <wp:simplePos x="0" y="0"/>
            <wp:positionH relativeFrom="page">
              <wp:posOffset>3580130</wp:posOffset>
            </wp:positionH>
            <wp:positionV relativeFrom="paragraph">
              <wp:posOffset>182880</wp:posOffset>
            </wp:positionV>
            <wp:extent cx="530225" cy="56705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30225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3500755</wp:posOffset>
                </wp:positionH>
                <wp:positionV relativeFrom="paragraph">
                  <wp:posOffset>0</wp:posOffset>
                </wp:positionV>
                <wp:extent cx="670560" cy="20129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5.64999999999998pt;margin-top:0;width:52.799999999999997pt;height:15.8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3482340</wp:posOffset>
                </wp:positionH>
                <wp:positionV relativeFrom="paragraph">
                  <wp:posOffset>734695</wp:posOffset>
                </wp:positionV>
                <wp:extent cx="734695" cy="9779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Wím&amp;mkxÍo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o Servida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4.19999999999999pt;margin-top:57.850000000000001pt;width:57.850000000000001pt;height:7.70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Wím&amp;mkxÍo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o Servida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Estes Programas são de propriedade da Fiorilli Software Ltda, de uma das empresas subsidiárias ou de uma empresa fornecedora da Fiorilli, estando protegido por direitos autorais/de autor, sendo fornecido sob licença e não vendido.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054" w:val="left"/>
          <w:tab w:pos="3442" w:val="left"/>
          <w:tab w:pos="5645" w:val="left"/>
          <w:tab w:pos="8088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termo "Programa" significa o programa original e todas as cópias completas ou parciais do mesmo. Um Programa consiste em instruções legíveis por máquina, seus componentes, dados, conteúdo audiovisual (tal como imagens, texto, gravações ou figuras)</w:t>
        <w:tab/>
        <w:t>e</w:t>
        <w:tab/>
        <w:t>materiais</w:t>
        <w:tab/>
        <w:t>licenciados</w:t>
        <w:tab/>
        <w:t>relacionados.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segunda: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Utilização do Programa.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Fiorilli Software Ltda concede a Contratante uma licença não exclusiva de utilização do Programa.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327660</wp:posOffset>
            </wp:positionH>
            <wp:positionV relativeFrom="paragraph">
              <wp:posOffset>0</wp:posOffset>
            </wp:positionV>
            <wp:extent cx="231775" cy="237490"/>
            <wp:wrapSquare wrapText="bothSides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177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Contratante pode: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9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utilizar o Programa para as autorizações que adquiriu e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8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fazer e instalar cópias para suportar o nível de utilização autorizado, desde que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reproduza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observação de direitos autorais/de autor e outras legendas de propriedade em cada cópia ou cópia parcial do Programa.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Contratante garantirá que qualquer pessoa que utilizar o Programa o fará apenas de acordo com os termos desse Contrato.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Contratante não pode: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79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utilizar, copiar, modificar ou distribuir o Programa, salvo como previsto neste Contrato;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8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inverter a montagem, inverter a compilação ou, de outro modo, converter o Programa, salvo se expressamente permitido pela lei, sem a possibilidade de renúncia contratual; ou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3" w:val="left"/>
        </w:tabs>
        <w:bidi w:val="0"/>
        <w:spacing w:before="0" w:after="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sublicenciar, alugar ou locar o Programa.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Contratante declara que: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93" w:val="left"/>
        </w:tabs>
        <w:bidi w:val="0"/>
        <w:spacing w:before="0" w:after="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tem pessoal técnico qualificado para execução dos serviços para os quais serão utilizados os sistemas;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03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está ciente de que os resultados apresentados pelos sistemas dependem exclusivamente das informações registradas por seus técnicos nos mesmos;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03" w:val="left"/>
        </w:tabs>
        <w:bidi w:val="0"/>
        <w:spacing w:before="0" w:after="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está ciente de que a contratada não tem qualquer obrigação de executar serviços, dar consultoria e ou assessoria nas áreas envolvidas pelos sistemas;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03" w:val="left"/>
        </w:tabs>
        <w:bidi w:val="0"/>
        <w:spacing w:before="0" w:after="6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está ciente de que a contratada não tem obrigação de enviar técnicos ou prepostos a quaisquer dependências da contratante para prestar eventual suporte técnico de sistema.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33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288" w:left="1328" w:right="992" w:bottom="319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Contratante se obriga a: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41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manter os equipamentos de informática em perfeito funcionamento, bem como as redes internas e externas;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51" w:val="left"/>
        </w:tabs>
        <w:bidi w:val="0"/>
        <w:spacing w:before="0" w:after="32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cuidar da segurança das suas bases de dados, realizando copias ou backups com a regularidade compatível com o uso de cada uma.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" w:name="bookmark1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CLÁUSULA TERCEIRA: </w:t>
      </w:r>
      <w:r>
        <w:rPr>
          <w:color w:val="000000"/>
          <w:spacing w:val="0"/>
          <w:w w:val="100"/>
          <w:position w:val="0"/>
          <w:shd w:val="clear" w:color="auto" w:fill="auto"/>
        </w:rPr>
        <w:t>Transferência de Direitos e Obrigações.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Contratante não pode transferir todos os seus direitos de licença e obrigações ao abrigo de uma Prova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Titularidade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o Programa a terceiros.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transferência das obrigações e direitos de licença da Contratante rescinde sua autorização de utilização do Programa na Prova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Titularidade.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CLÁUSULA QUARTA: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Prova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Titularidade.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tabs>
          <w:tab w:pos="4800" w:val="left"/>
          <w:tab w:pos="8563" w:val="left"/>
        </w:tabs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Prova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Titularidade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para este Programa é a evidência da autorização para a Contratante utilizar este Programa e sua aceitação dos serviços de garantia, preços de programas de atualização futuros (se anunciados) e oportunidades especiais ou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promocionais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</w:t>
        <w:tab/>
        <w:t>potencial.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3" w:name="bookmark3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CLÁUSULA QUINTA: </w:t>
      </w:r>
      <w:r>
        <w:rPr>
          <w:color w:val="000000"/>
          <w:spacing w:val="0"/>
          <w:w w:val="100"/>
          <w:position w:val="0"/>
          <w:shd w:val="clear" w:color="auto" w:fill="auto"/>
        </w:rPr>
        <w:t>Encargos e Impostos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Contratada define a utilização para o Programa quanto aos encargos e o especifica na Prova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Titularidade.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Os encargos são baseados na extensão de uso autorizado. Se a Contratante desejar aumentar a extensão do uso, deverá notificar a Contratada ou seu revendedor e pagar os encargos aplicáveis. A Contratada não faz devoluções, nem concede créditos, em relação a encargos já exigíveis ou pagos.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942" w:val="left"/>
          <w:tab w:pos="6437" w:val="left"/>
          <w:tab w:pos="8563" w:val="left"/>
        </w:tabs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 qualquer autoridade impuser um imposto, encargo, coleta ou um honorário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excluindo- 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aqueles baseados no lucro líquido da Contratada, sobre o Programa fornecido e os serviços que o acompanham pela Contratada mediante este Contrato, a Contratante concordará em pagar essa quantia da maneira especificada pela Contratada ou fornecerá</w:t>
        <w:tab/>
        <w:t>documentação</w:t>
        <w:tab/>
        <w:t>de</w:t>
        <w:tab/>
        <w:t>isenção.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CLÁUSULA SEXTA: </w:t>
      </w:r>
      <w:r>
        <w:rPr>
          <w:color w:val="000000"/>
          <w:spacing w:val="0"/>
          <w:w w:val="100"/>
          <w:position w:val="0"/>
          <w:shd w:val="clear" w:color="auto" w:fill="auto"/>
        </w:rPr>
        <w:t>Garantia Limitada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2422" w:left="1320" w:right="970" w:bottom="316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Contratada garante que quando o Programa for utilizado no ambiente operacional especificado, ele funcionará em conformidade com as especificações. A Contratada não garante a operação ininterrupta ou isenta de erros do Programa, ou que irá corrigir todos os defeitos do Programa. A Contratante é responsável pelos resultados obtidos com a utilização do Programa. O período de garantia do Programa expira um ano após a data da aquisição. As Informações sobre Licença especificam a duração dos serviços do Programa.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4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Servsdasr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987" w:val="left"/>
          <w:tab w:pos="3283" w:val="left"/>
          <w:tab w:pos="5544" w:val="left"/>
          <w:tab w:pos="6970" w:val="left"/>
          <w:tab w:pos="8923" w:val="left"/>
        </w:tabs>
        <w:bidi w:val="0"/>
        <w:spacing w:before="0" w:after="7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Durante o período de garantia, é fornecida assistência sem encargos para a parte não- modificada do Programa através dos serviços do Programa relacionados a defeitos. Os serviços do programa estão disponíveis por um período nunca inferior a um ano, contado a partir da data de lançamento do Programa. Deste modo, a duração do serviço de garantia depende de quando a Contratante obtém a licença. Se o Programa não funcionar de acordo com a garantia durante o primeiro ano após a Contratante ter obtido a licença e a Contratada não conseguir resolver o problema fornecendo uma correção, restrição ou derivação, a Contratante poderá devolver o Programa onde o adquiriu e receber</w:t>
        <w:tab/>
        <w:t>a</w:t>
        <w:tab/>
        <w:t>devolução</w:t>
        <w:tab/>
        <w:t>da</w:t>
        <w:tab/>
        <w:t>quantia</w:t>
        <w:tab/>
        <w:t>paga.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5" w:name="bookmark5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SÉTIMA: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Limitação de Responsabilidade.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Podem ocorrer casos em que, devido a um não cumprimento da parte da Contratada ou a outra responsabilidade, a Contratante tenha direito a reclamar danos da Contratada. Em cada caso, independentemente da base em que a Contratante pode ter direito a reclamar os danos da Contratada (incluindo violação fundamental, negligência, falsas afirmações ou outra reclamação contratual ou extracontratual), a Contratada é responsável por não mais do que a quantia de quaisquer outros danos diretos reais até o máximo correspondente ao valor dos encargos para Programa que é a causa da reclamação.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contratada não será responsável por quaisquer danos especiais,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incidentais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ou indiretos ou por quaisquer danos de consequência econômica (incluindo lucros cessantes), mesmo se a Contratada ou seu revendedor, tiverem sido advertidos da possibilidade de tais danos.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Contratada não será responsável por: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22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perda ou dano a seus registros ou dados, ou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42" w:val="left"/>
        </w:tabs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quaisquer danos reclamados pela Contratante com base em qualquer reclamação de terceiros.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6" w:name="bookmark6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OITAVA: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Preços e Condições .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preço total dos serviços propostos é de R$ 5.376,00 (cinco mil, trezentos e setenta e seis reais).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1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66" w:left="1299" w:right="987" w:bottom="273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Correspondente a locação de licenciamento de uso de sistemas será pago em uma única parcela, mediante a emissão de notas fiscais, acompanhado dos seguintes documentos; comprovante de inscrição e de situação cadastral junto à Receita Federal do Brasil -RFB; Certidão Negativa de Débito relativos aos Tributos Federais e à divida Ativa da União: prova de regularidade para com a Fazenda Estadual e Municipal( do domicílio ou sede do licitante),Certidão de Regularidade do Fundo de Garantia do tempo de Serviço - FGTS; Certidão Negativa de Débitos Trabalhista, todas em validade no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4027" w:val="left"/>
          <w:tab w:leader="underscore" w:pos="9542" w:val="left"/>
        </w:tabs>
        <w:bidi w:val="0"/>
        <w:spacing w:before="160" w:line="254" w:lineRule="auto"/>
        <w:ind w:left="0" w:right="0" w:firstLine="138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FUNDO MUNICIPAL DE PREVIDÊNCIA SOCIAL DE BORBA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BORBAPREV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ab/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período do processo licitatório, a primeira emitida no início do mês imediatamente seguinte ao da implantação do sistema,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valor da locação será reajustado anualmente com aplicação do IGPM da FGV.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Será considerado motivo para a paralisação dos serviços e posterior rescisão de contrato o atraso de pagamento dos valores faturados por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noventa dias. Os sistemas informatizados poderão ser bloqueados ou suspensos para novos lançamentos, sempre que houver falta de pagamento do preço ajustado, por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noventa dias.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 despesas decorrentes da carta contrato correrão à conta do orçamento de 2025, através da dotação orçamentaria: Unidade Orçamentaria: 06.01 Fundo Municipal de Previdência, Projeto/ Atividade: 09.122.0011.2.047: encargos com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Borbaprev,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Natureza da Despesa: 3.3.90.39.00 outros serviços de terceiros - pessoa jurídica, Fonte de Recursos: 802- PREV. SOCAIL MUNICIPAL- RPPS.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NONA: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Prazos</w:t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prazo de vigência do presente contrato é de 12 (doze) meses, em exercício de janeiro à dezembro do ano de 2025, podendo ser prorrogado, por temo aditivo.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DÉCIMA: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Faturamento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tabs>
          <w:tab w:pos="2429" w:val="left"/>
          <w:tab w:pos="4248" w:val="left"/>
          <w:tab w:pos="6802" w:val="left"/>
          <w:tab w:pos="8923" w:val="left"/>
        </w:tabs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Os valores devidos pela contratante serão faturados no primeiro decêndio do mês seguinte ao da liquidação da locação, com vencimento até o último dia útil do mês da emissão</w:t>
        <w:tab/>
        <w:t>da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respectiva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nota</w:t>
        <w:tab/>
        <w:t>fiscal.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DÉCIMA PRIMEIRA: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Pagamento</w:t>
      </w:r>
      <w:bookmarkEnd w:id="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contratante se obriga expressamente efetuar o pagamento através de boleto de compensação bancária, ou ordem de pagamento para o banco e conta indicados no Boleto.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DÉCIMA SEGUNDA: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Prazos de início.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tabs>
          <w:tab w:pos="8923" w:val="left"/>
        </w:tabs>
        <w:bidi w:val="0"/>
        <w:spacing w:before="0" w:after="34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Os Programa objeto do presente contrato ficam à disposição da contratante a partir desta</w:t>
        <w:tab/>
        <w:t>data.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1" w:name="bookmark11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CLÁUSULA DÉCIMA TERCEIRA: </w:t>
      </w:r>
      <w:r>
        <w:rPr>
          <w:color w:val="000000"/>
          <w:spacing w:val="0"/>
          <w:w w:val="100"/>
          <w:position w:val="0"/>
          <w:shd w:val="clear" w:color="auto" w:fill="auto"/>
        </w:rPr>
        <w:t>Controle de Informações,</w:t>
      </w:r>
      <w:bookmarkEnd w:id="1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contratante é responsável pela supervisão, administração e controle do uso dos sistemas e se obriga a tratar como segredo comercial quaisquer informações, dados, processos, fórmulas, códigos, fluxogramas, diagramas lógicos, dispositivos e modelos relativos ao sistema, inclusive planilhas, formulários e relatórios de saída,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utilizando-os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Vsâtótàisxsaá©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Sesvldsar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4037" w:val="left"/>
          <w:tab w:leader="underscore" w:pos="9547" w:val="left"/>
        </w:tabs>
        <w:bidi w:val="0"/>
        <w:spacing w:before="0" w:after="340" w:line="252" w:lineRule="auto"/>
        <w:ind w:left="0" w:right="0" w:firstLine="14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FUNDO MUNICIPAL DE PREVIDÊNCIA SOCIAL DE BORBA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BORBAPREV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ab/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apenas para as finalidades previstas no objeto deste contrato, não podendo revelá-los ou facilitar a revelação a terceiros.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DÉCIMA QUARTA: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Proteção.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contratada poderá, com relação ao sistema informatizado, e com isso a contratante expressamente concorda, introduzir meios de proteção contra cópias e uso indevido no sistema, mesmo que tais meios impliquem na destruição de arquivos ou registros no caso de tentativa de violação ou mal uso, sendo a responsabilidade por tais eventos inteiramente assumidos pelo usuário contratante.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contratada se obriga, com relação aos bancos de dados ou tabelas cadastrais de todos os sistemas, mantê-los disponíveis para utilização pelas demais linguagens de programação existentes no mercado de software, ou a emitir mediante remuneração, quando solicitada, no prazo de uma semana, arquivos TXT s com os respectivos lay- outs.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DÉCIMA QUINTA: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Acompanhamento.</w:t>
      </w:r>
      <w:bookmarkEnd w:id="1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contratante se compromete a manter funcionários que atuarão nos serviços e serão instruídos pelos técnicos da contratada, reservando-se esta o direito de se manifestar sobre a falta de condições de aprendizagem desses funcionários ou sobre a resistência à implantação de sistemas e procedimentos, sendo nesse caso substituídos pela contratante.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DÉCIMA SEXTA: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Multas.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caso da inexecução parcial ou total do presente termo contratual, ou mesmo em caso de mora contratual, poderão ser aplicadas pela contratante as seguintes multas: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79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pela inexecução parcial do contrato, multa de até 5%, do valor do contrato;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3" w:val="left"/>
        </w:tabs>
        <w:bidi w:val="0"/>
        <w:spacing w:before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pela inexecução total do contrato, assim também entendida a recusa à sua assinatura, multa de até 10% do valor do contrato;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8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pela mora contratual, assim entendido eventual atraso no atendimento de consultas formuladas, multa de 1% (um por cento) do valor da parcela mensal, por dia de atraso.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DÉCIMA SÉTIMA: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RESCISÃO</w:t>
      </w:r>
      <w:bookmarkEnd w:id="15"/>
    </w:p>
    <w:p>
      <w:pPr>
        <w:pStyle w:val="Style2"/>
        <w:keepNext w:val="0"/>
        <w:keepLines w:val="0"/>
        <w:widowControl w:val="0"/>
        <w:shd w:val="clear" w:color="auto" w:fill="auto"/>
        <w:tabs>
          <w:tab w:pos="2890" w:val="left"/>
          <w:tab w:pos="6182" w:val="left"/>
          <w:tab w:pos="8563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Constitui motivo para rescisão do presente o descumprimento pelas partes das condições</w:t>
        <w:tab/>
        <w:t>estabelecidas</w:t>
        <w:tab/>
        <w:t>neste</w:t>
        <w:tab/>
        <w:t>contrato.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DÉCIMA OITAVA: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CRÉDITO</w:t>
      </w:r>
      <w:bookmarkEnd w:id="16"/>
      <w:r>
        <w:br w:type="page"/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158750" distB="0" distL="114300" distR="114300" simplePos="0" relativeHeight="125829380" behindDoc="0" locked="0" layoutInCell="1" allowOverlap="1">
            <wp:simplePos x="0" y="0"/>
            <wp:positionH relativeFrom="page">
              <wp:posOffset>3481705</wp:posOffset>
            </wp:positionH>
            <wp:positionV relativeFrom="margin">
              <wp:posOffset>158750</wp:posOffset>
            </wp:positionV>
            <wp:extent cx="694690" cy="61595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9469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3481705</wp:posOffset>
                </wp:positionH>
                <wp:positionV relativeFrom="margin">
                  <wp:posOffset>0</wp:posOffset>
                </wp:positionV>
                <wp:extent cx="670560" cy="17081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4.14999999999998pt;margin-top:0;width:52.799999999999997pt;height:13.449999999999999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4037" w:val="left"/>
          <w:tab w:pos="5698" w:val="left"/>
          <w:tab w:pos="5698" w:val="left"/>
          <w:tab w:pos="5699" w:val="left"/>
          <w:tab w:pos="7814" w:val="left"/>
          <w:tab w:pos="8832" w:val="left"/>
          <w:tab w:leader="underscore" w:pos="9562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BORBAPREV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ab/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As despesas decorrentes da carta contrato correrão à conta do orçamento de 2025, através da dotação orçamentaria: Unidade orçamentária: 06.01 Fundo Municipal de Previdência, Projeto/Atividade: 09.122.001.2.047 encargos com BORBAPREV, Natureza da Despesa: 3.3.90.39.00: outros serviços de terceiros- pessoa jurídica, Fonte de Recurso:802-</w:t>
        <w:tab/>
        <w:t>PREV.</w:t>
        <w:tab/>
        <w:t>SOCIAL</w:t>
        <w:tab/>
        <w:t>MUNICIPAL</w:t>
        <w:tab/>
        <w:t>-</w:t>
        <w:tab/>
        <w:t>RPPS.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DÉCIMA NONA: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GERAL</w:t>
      </w:r>
      <w:bookmarkEnd w:id="1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Além das cláusulas contratuais deste termo, os contratantes declaram conhecer e sujeitar-se às normas da Lei Federal n° 14.133/2021 artigo 75.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Nada neste Contrato afeta quaisquer direitos legais dos consumidores que não possam ser renunciados ou limitados pelo contrato.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Contratada pode rescindir a licença da Contratante no caso de não cumprimento dos termos deste Contrato. Se a Contratada rescindir a licença, a autorização da Contratante para utilizar o Programa também será rescindida.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Nem a Contratante e nem a Contratada poderão iniciar uma ação legal sob este Contrato mais de um ano depois de ter surgido a causa da ação a não ser que seja estabelecido de outra forma pela lei sem a possibilidade de limitação ou renúncia contratual.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Nem a Contratante e nem a Contratada são responsáveis pelo não cumprimento das obrigações devido a causas fora do seu controle.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VIGÉSIMA: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FORO.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Fica eleito, para dirimir quaisquer questões oriundas deste contrato, o Foro da Comarca de Borba-AM.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0"/>
        <w:jc w:val="both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302895</wp:posOffset>
            </wp:positionH>
            <wp:positionV relativeFrom="margin">
              <wp:posOffset>6397625</wp:posOffset>
            </wp:positionV>
            <wp:extent cx="231775" cy="237490"/>
            <wp:wrapSquare wrapText="bothSides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3177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 por assim se acharem justos e contratados, mandaram elaborar o presente, que foi lido e achado conforme, ao qual conferem plena e irrevogável validade, após rubricado em todas as folhas e anexos e assinado na presença de testemunhas que a tudo assistiram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Borba-AM, 31 de janeiro de 2025</w:t>
      </w:r>
      <w:r>
        <w:br w:type="page"/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SorbaPrev</w:t>
      </w:r>
    </w:p>
    <w:p>
      <w:pPr>
        <w:pStyle w:val="Style3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17"/>
          <w:footerReference w:type="default" r:id="rId18"/>
          <w:headerReference w:type="first" r:id="rId19"/>
          <w:footerReference w:type="first" r:id="rId20"/>
          <w:footnotePr>
            <w:pos w:val="pageBottom"/>
            <w:numFmt w:val="decimal"/>
            <w:numRestart w:val="continuous"/>
          </w:footnotePr>
          <w:pgSz w:w="11900" w:h="16840"/>
          <w:pgMar w:top="972" w:left="1293" w:right="1012" w:bottom="3467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0" distB="85090" distL="97790" distR="106680" simplePos="0" relativeHeight="125829382" behindDoc="0" locked="0" layoutInCell="1" allowOverlap="1">
            <wp:simplePos x="0" y="0"/>
            <wp:positionH relativeFrom="page">
              <wp:posOffset>3543300</wp:posOffset>
            </wp:positionH>
            <wp:positionV relativeFrom="margin">
              <wp:posOffset>176530</wp:posOffset>
            </wp:positionV>
            <wp:extent cx="530225" cy="55499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42" name="Shap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53022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3445510</wp:posOffset>
                </wp:positionH>
                <wp:positionV relativeFrom="margin">
                  <wp:posOffset>716280</wp:posOffset>
                </wp:positionV>
                <wp:extent cx="734695" cy="100330"/>
                <wp:wrapNone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Wltórsaaoiis o Senhor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271.30000000000001pt;margin-top:56.399999999999999pt;width:57.850000000000001pt;height:7.9000000000000004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Wltórsaaoiis o Senhor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FUNDO MUNICIPAL DE PREVIDÊNCIA SOCIAL DE BORBA</w:t>
        <w:br/>
        <w:t>BORBAPREV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2" w:left="0" w:right="0" w:bottom="792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i w:val="0"/>
          <w:iCs w:val="0"/>
          <w:smallCaps/>
          <w:color w:val="6C70AB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(IíiaM?. </w:t>
      </w:r>
      <w:r>
        <w:rPr>
          <w:color w:val="6C70AB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"Yj;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. </w:t>
      </w:r>
      <w:r>
        <w:rPr>
          <w:color w:val="6C70AB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dfàl.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Contratante: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N. dos Santos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43"/>
        <w:keepNext w:val="0"/>
        <w:keepLines w:val="0"/>
        <w:widowControl w:val="0"/>
        <w:shd w:val="clear" w:color="auto" w:fill="auto"/>
        <w:tabs>
          <w:tab w:pos="166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 xml:space="preserve">iose FObertO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Assinado de forma '</w:t>
        <w:tab/>
        <w:t>digital por jose roberto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12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 xml:space="preserve">fiorilli:47660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florílli:47660937804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Dados: 2025.02.03</w:t>
      </w:r>
    </w:p>
    <w:p>
      <w:pPr>
        <w:pStyle w:val="Style43"/>
        <w:keepNext w:val="0"/>
        <w:keepLines w:val="0"/>
        <w:widowControl w:val="0"/>
        <w:shd w:val="clear" w:color="auto" w:fill="auto"/>
        <w:tabs>
          <w:tab w:pos="1666" w:val="left"/>
        </w:tabs>
        <w:bidi w:val="0"/>
        <w:spacing w:before="0" w:after="180" w:line="1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937804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11:01:55-0300'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Contratada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Fiorilli Software Ltda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2" w:left="2403" w:right="1673" w:bottom="7920" w:header="0" w:footer="3" w:gutter="0"/>
          <w:cols w:num="2" w:space="1238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2" w:left="0" w:right="0" w:bottom="275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4700905</wp:posOffset>
            </wp:positionH>
            <wp:positionV relativeFrom="paragraph">
              <wp:posOffset>100330</wp:posOffset>
            </wp:positionV>
            <wp:extent cx="1999615" cy="475615"/>
            <wp:wrapSquare wrapText="bothSides"/>
            <wp:docPr id="46" name="Shape 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box 47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999615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4438650</wp:posOffset>
                </wp:positionH>
                <wp:positionV relativeFrom="paragraph">
                  <wp:posOffset>143510</wp:posOffset>
                </wp:positionV>
                <wp:extent cx="731520" cy="460375"/>
                <wp:wrapSquare wrapText="bothSides"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460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Testemunha</w:t>
                            </w:r>
                          </w:p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Nome:</w:t>
                            </w:r>
                          </w:p>
                          <w:p>
                            <w:pPr>
                              <w:pStyle w:val="Style3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RG: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349.5pt;margin-top:11.300000000000001pt;width:57.600000000000001pt;height:36.25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Testemunha</w:t>
                      </w:r>
                    </w:p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Nome:</w:t>
                      </w:r>
                    </w:p>
                    <w:p>
                      <w:pPr>
                        <w:pStyle w:val="Style3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RG: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8"/>
        <w:keepNext w:val="0"/>
        <w:keepLines w:val="0"/>
        <w:widowControl w:val="0"/>
        <w:shd w:val="clear" w:color="auto" w:fill="auto"/>
        <w:tabs>
          <w:tab w:leader="dot" w:pos="3386" w:val="left"/>
        </w:tabs>
        <w:bidi w:val="0"/>
        <w:spacing w:before="0" w:after="0" w:line="240" w:lineRule="auto"/>
        <w:ind w:left="28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38"/>
        <w:keepNext w:val="0"/>
        <w:keepLines w:val="0"/>
        <w:widowControl w:val="0"/>
        <w:shd w:val="clear" w:color="auto" w:fill="auto"/>
        <w:tabs>
          <w:tab w:pos="263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Testemunha: </w:t>
      </w:r>
      <w:r>
        <w:rPr>
          <w:color w:val="9296C8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o</w:t>
      </w:r>
      <w:r>
        <w:rPr>
          <w:color w:val="9296C8"/>
          <w:spacing w:val="0"/>
          <w:w w:val="100"/>
          <w:position w:val="0"/>
          <w:shd w:val="clear" w:color="auto" w:fill="auto"/>
          <w:lang w:val="pt-BR" w:eastAsia="pt-BR" w:bidi="pt-BR"/>
        </w:rPr>
        <w:tab/>
        <w:t>.</w:t>
      </w:r>
      <w:r>
        <w:rPr>
          <w:color w:val="6C70AB"/>
          <w:spacing w:val="0"/>
          <w:w w:val="100"/>
          <w:position w:val="0"/>
          <w:shd w:val="clear" w:color="auto" w:fill="auto"/>
          <w:lang w:val="pt-BR" w:eastAsia="pt-BR" w:bidi="pt-BR"/>
        </w:rPr>
        <w:t>.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5B5D75"/>
          <w:spacing w:val="0"/>
          <w:w w:val="100"/>
          <w:position w:val="0"/>
          <w:shd w:val="clear" w:color="auto" w:fill="auto"/>
          <w:lang w:val="pt-BR" w:eastAsia="pt-BR" w:bidi="pt-BR"/>
        </w:rPr>
        <w:t>NomeY.W:?.</w:t>
      </w:r>
    </w:p>
    <w:p>
      <w:pPr>
        <w:pStyle w:val="Style38"/>
        <w:keepNext w:val="0"/>
        <w:keepLines w:val="0"/>
        <w:widowControl w:val="0"/>
        <w:shd w:val="clear" w:color="auto" w:fill="auto"/>
        <w:tabs>
          <w:tab w:pos="1622" w:val="left"/>
          <w:tab w:leader="dot" w:pos="326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RG: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.............................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22" w:left="2403" w:right="4889" w:bottom="275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6654165</wp:posOffset>
              </wp:positionH>
              <wp:positionV relativeFrom="page">
                <wp:posOffset>8761730</wp:posOffset>
              </wp:positionV>
              <wp:extent cx="585470" cy="67373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5470" cy="673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85470" cy="676910"/>
                                <wp:docPr id="5" name="Picutre 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85470" cy="6769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23.95000000000005pt;margin-top:689.89999999999998pt;width:46.100000000000001pt;height:53.049999999999997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85470" cy="676910"/>
                          <wp:docPr id="7" name="Picutre 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85470" cy="6769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2520950</wp:posOffset>
              </wp:positionH>
              <wp:positionV relativeFrom="page">
                <wp:posOffset>9011920</wp:posOffset>
              </wp:positionV>
              <wp:extent cx="2828290" cy="42672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28290" cy="4267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Fundo Municipal de Previdência Social de Borba — BORBAPREV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 xml:space="preserve">Avenida 13 de Maio, n“ 108, Centro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69.200-000 / Borba-AM.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Fone: (92) 99602-0911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8.5pt;margin-top:709.60000000000002pt;width:222.69999999999999pt;height:33.6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Fundo Municipal de Previdência Social de Borba — BORBAPREV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 xml:space="preserve">Avenida 13 de Maio, n“ 108, Centro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69.200-000 / Borba-AM.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Fone: (92) 99602-0911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6623685</wp:posOffset>
              </wp:positionH>
              <wp:positionV relativeFrom="page">
                <wp:posOffset>8650605</wp:posOffset>
              </wp:positionV>
              <wp:extent cx="597535" cy="65849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7535" cy="658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658495"/>
                                <wp:docPr id="22" name="Picutre 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6584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521.54999999999995pt;margin-top:681.14999999999998pt;width:47.049999999999997pt;height:51.850000000000001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658495"/>
                          <wp:docPr id="24" name="Picutre 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6584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2581910</wp:posOffset>
              </wp:positionH>
              <wp:positionV relativeFrom="page">
                <wp:posOffset>9135110</wp:posOffset>
              </wp:positionV>
              <wp:extent cx="2831465" cy="42037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31465" cy="420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Fundo Municipal de Previdência Social de Borba - BORBAPREV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 xml:space="preserve">Avenida 13 de Maio, n° 108, Centro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69.200-000 / Borba-AM.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Fone: (92) 99602-0911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203.30000000000001pt;margin-top:719.29999999999995pt;width:222.94999999999999pt;height:33.10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Fundo Municipal de Previdência Social de Borba - BORBAPREV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 xml:space="preserve">Avenida 13 de Maio, n° 108, Centro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69.200-000 / Borba-AM.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Fone: (92) 99602-0911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6490335</wp:posOffset>
              </wp:positionH>
              <wp:positionV relativeFrom="page">
                <wp:posOffset>9047480</wp:posOffset>
              </wp:positionV>
              <wp:extent cx="609600" cy="58801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0" cy="588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09600" cy="591185"/>
                                <wp:docPr id="34" name="Picutre 3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Picture 3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09600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511.05000000000001pt;margin-top:712.39999999999998pt;width:48.pt;height:46.299999999999997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09600" cy="591185"/>
                          <wp:docPr id="36" name="Picutre 3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Picture 3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09600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2536825</wp:posOffset>
              </wp:positionH>
              <wp:positionV relativeFrom="page">
                <wp:posOffset>9328150</wp:posOffset>
              </wp:positionV>
              <wp:extent cx="2831465" cy="42989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3146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 - BORBAPREV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Avenida 13 de Maio, n“ 108, ( 'entro - CEP: 69.200-000 / Borba-AM.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Fone: (92) 99602-0911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199.75pt;margin-top:734.5pt;width:222.94999999999999pt;height:33.85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Fundo Municipal de Previdência Social de Borba - BORBAPREV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Avenida 13 de Maio, n“ 108, ( 'entro - CEP: 69.200-000 / Borba-AM.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Fone: (92) 99602-0911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2552065</wp:posOffset>
              </wp:positionH>
              <wp:positionV relativeFrom="page">
                <wp:posOffset>8555355</wp:posOffset>
              </wp:positionV>
              <wp:extent cx="2831465" cy="42672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31465" cy="4267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Fundo Municipal de Previdência Social de Borba - BORBAPREV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 xml:space="preserve">Avenida 13 de Maio, n° 108, Centro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69.200-000 / Borba-AM.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Fone: (92) 99602-0911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200.94999999999999pt;margin-top:673.64999999999998pt;width:222.94999999999999pt;height:33.6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Fundo Municipal de Previdência Social de Borba - BORBAPREV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 xml:space="preserve">Avenida 13 de Maio, n° 108, Centro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69.200-000 / Borba-AM.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Fone: (92) 99602-0911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656590</wp:posOffset>
              </wp:positionH>
              <wp:positionV relativeFrom="page">
                <wp:posOffset>8520430</wp:posOffset>
              </wp:positionV>
              <wp:extent cx="6443345" cy="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433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1.700000000000003pt;margin-top:670.89999999999998pt;width:507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1691640</wp:posOffset>
              </wp:positionH>
              <wp:positionV relativeFrom="page">
                <wp:posOffset>1139190</wp:posOffset>
              </wp:positionV>
              <wp:extent cx="4285615" cy="3136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5615" cy="3136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3.19999999999999pt;margin-top:89.700000000000003pt;width:337.44999999999999pt;height:24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</w:rPr>
                      <w:t>FUNDO MUNICIPAL DE PREVIDÊNCIA SOCIAL DE BORBA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795655</wp:posOffset>
              </wp:positionH>
              <wp:positionV relativeFrom="page">
                <wp:posOffset>1506220</wp:posOffset>
              </wp:positionV>
              <wp:extent cx="6077585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75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649999999999999pt;margin-top:118.59999999999999pt;width:478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838200</wp:posOffset>
              </wp:positionH>
              <wp:positionV relativeFrom="page">
                <wp:posOffset>1148080</wp:posOffset>
              </wp:positionV>
              <wp:extent cx="6074410" cy="38100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74410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530" w:val="right"/>
                              <w:tab w:pos="956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</w:rPr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66.pt;margin-top:90.400000000000006pt;width:478.30000000000001pt;height:30.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</w:rPr>
                      <w:t>FUNDO MUNICIPAL DE PREVIDÊNCIA SOCIAL DE BORBA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530" w:val="right"/>
                        <w:tab w:pos="956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</w:rPr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1503045</wp:posOffset>
              </wp:positionV>
              <wp:extent cx="6080760" cy="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807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549999999999997pt;margin-top:118.34999999999999pt;width:478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17">
    <w:name w:val="Heading #1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single"/>
    </w:rPr>
  </w:style>
  <w:style w:type="character" w:customStyle="1" w:styleId="CharStyle21">
    <w:name w:val="Heading #3|1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single"/>
      <w:lang w:val="pt-PT" w:eastAsia="pt-PT" w:bidi="pt-PT"/>
    </w:rPr>
  </w:style>
  <w:style w:type="character" w:customStyle="1" w:styleId="CharStyle24">
    <w:name w:val="Body text|5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9">
    <w:name w:val="Heading #4|1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33">
    <w:name w:val="Heading #2|1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single"/>
    </w:rPr>
  </w:style>
  <w:style w:type="character" w:customStyle="1" w:styleId="CharStyle36">
    <w:name w:val="Body text|4_"/>
    <w:basedOn w:val="DefaultParagraphFont"/>
    <w:link w:val="Style35"/>
    <w:rPr>
      <w:b/>
      <w:bCs/>
      <w:i w:val="0"/>
      <w:iCs w:val="0"/>
      <w:smallCaps w:val="0"/>
      <w:strike w:val="0"/>
      <w:u w:val="none"/>
    </w:rPr>
  </w:style>
  <w:style w:type="character" w:customStyle="1" w:styleId="CharStyle39">
    <w:name w:val="Body text|2_"/>
    <w:basedOn w:val="DefaultParagraphFont"/>
    <w:link w:val="Style38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44">
    <w:name w:val="Body text|3_"/>
    <w:basedOn w:val="DefaultParagraphFont"/>
    <w:link w:val="Style43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16">
    <w:name w:val="Heading #1|1"/>
    <w:basedOn w:val="Normal"/>
    <w:link w:val="CharStyle17"/>
    <w:pPr>
      <w:widowControl w:val="0"/>
      <w:shd w:val="clear" w:color="auto" w:fill="FFFFFF"/>
      <w:spacing w:after="6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single"/>
    </w:rPr>
  </w:style>
  <w:style w:type="paragraph" w:customStyle="1" w:styleId="Style20">
    <w:name w:val="Heading #3|1"/>
    <w:basedOn w:val="Normal"/>
    <w:link w:val="CharStyle21"/>
    <w:pPr>
      <w:widowControl w:val="0"/>
      <w:shd w:val="clear" w:color="auto" w:fill="FFFFFF"/>
      <w:spacing w:after="6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single"/>
      <w:lang w:val="pt-PT" w:eastAsia="pt-PT" w:bidi="pt-PT"/>
    </w:rPr>
  </w:style>
  <w:style w:type="paragraph" w:customStyle="1" w:styleId="Style23">
    <w:name w:val="Body text|5"/>
    <w:basedOn w:val="Normal"/>
    <w:link w:val="CharStyle24"/>
    <w:pPr>
      <w:widowControl w:val="0"/>
      <w:shd w:val="clear" w:color="auto" w:fill="FFFFFF"/>
      <w:spacing w:after="290"/>
      <w:ind w:left="238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28">
    <w:name w:val="Heading #4|1"/>
    <w:basedOn w:val="Normal"/>
    <w:link w:val="CharStyle29"/>
    <w:pPr>
      <w:widowControl w:val="0"/>
      <w:shd w:val="clear" w:color="auto" w:fill="FFFFFF"/>
      <w:spacing w:after="80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paragraph" w:customStyle="1" w:styleId="Style32">
    <w:name w:val="Heading #2|1"/>
    <w:basedOn w:val="Normal"/>
    <w:link w:val="CharStyle33"/>
    <w:pPr>
      <w:widowControl w:val="0"/>
      <w:shd w:val="clear" w:color="auto" w:fill="FFFFFF"/>
      <w:spacing w:after="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single"/>
    </w:rPr>
  </w:style>
  <w:style w:type="paragraph" w:customStyle="1" w:styleId="Style35">
    <w:name w:val="Body text|4"/>
    <w:basedOn w:val="Normal"/>
    <w:link w:val="CharStyle36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38">
    <w:name w:val="Body text|2"/>
    <w:basedOn w:val="Normal"/>
    <w:link w:val="CharStyle39"/>
    <w:pPr>
      <w:widowControl w:val="0"/>
      <w:shd w:val="clear" w:color="auto" w:fill="FFFFFF"/>
    </w:pPr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43">
    <w:name w:val="Body text|3"/>
    <w:basedOn w:val="Normal"/>
    <w:link w:val="CharStyle44"/>
    <w:pPr>
      <w:widowControl w:val="0"/>
      <w:shd w:val="clear" w:color="auto" w:fill="FFFFFF"/>
      <w:spacing w:line="15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header" Target="header4.xml"/><Relationship Id="rId20" Type="http://schemas.openxmlformats.org/officeDocument/2006/relationships/footer" Target="footer4.xml"/><Relationship Id="rId21" Type="http://schemas.openxmlformats.org/officeDocument/2006/relationships/image" Target="media/image8.png"/><Relationship Id="rId22" Type="http://schemas.openxmlformats.org/officeDocument/2006/relationships/image" Target="media/image8.pn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foot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