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35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437515</wp:posOffset>
                </wp:positionH>
                <wp:positionV relativeFrom="paragraph">
                  <wp:posOffset>0</wp:posOffset>
                </wp:positionV>
                <wp:extent cx="798830" cy="12827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19/05/2023, 09:16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4.450000000000003pt;margin-top:0;width:62.899999999999999pt;height:10.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19/05/2023, 09:16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6118860</wp:posOffset>
            </wp:positionH>
            <wp:positionV relativeFrom="paragraph">
              <wp:posOffset>38100</wp:posOffset>
            </wp:positionV>
            <wp:extent cx="1042670" cy="54229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04267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Visualização de Publicação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6624" w:val="left"/>
        </w:tabs>
        <w:bidi w:val="0"/>
        <w:spacing w:before="0" w:line="221" w:lineRule="auto"/>
        <w:ind w:left="0" w:right="0" w:firstLine="0"/>
        <w:jc w:val="center"/>
      </w:pPr>
      <w:r>
        <w:rPr>
          <w:b/>
          <w:bCs/>
          <w:u w:val="single"/>
        </w:rPr>
        <w:t xml:space="preserve"> </w:t>
        <w:tab/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6624" w:val="left"/>
        </w:tabs>
        <w:bidi w:val="0"/>
        <w:spacing w:before="0" w:after="200" w:line="221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  <w:br/>
        <w:t>MUNICÍPIO DE BORBA</w:t>
        <w:br/>
      </w:r>
      <w:r>
        <w:rPr>
          <w:u w:val="single"/>
        </w:rPr>
        <w:t xml:space="preserve"> </w:t>
        <w:tab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28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 -</w:t>
        <w:br/>
        <w:t>BORBAPREV</w:t>
        <w:br/>
        <w:t>PORTARIA N°004/2023 - BORBAPREV - CONCESSÃO DE</w:t>
        <w:br/>
        <w:t>PENSÃO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28" w:lineRule="auto"/>
        <w:ind w:left="2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Presidente do Fundo Municipal de Previdência Social de Borba - BORBAPREV, usando das atribuições que lhe confere a Lei Municipal n. 126, de 17 dc dezembro dc 2013, no que tange à competência para firmar atos de concessão de Pensão por Morte;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28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o requerimento de pagamento de beneficio de pensão, os documentos comprobatórios e informações que instruem o Processo Administrativo n. 010/2023 e o Parecer Técnico n. 06/2023, da Assessoria Jurídica do BORBAPREV; RESOLVE: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54" w:val="left"/>
          <w:tab w:leader="dot" w:pos="5339" w:val="left"/>
          <w:tab w:leader="dot" w:pos="5368" w:val="left"/>
        </w:tabs>
        <w:bidi w:val="0"/>
        <w:spacing w:before="0" w:line="262" w:lineRule="auto"/>
        <w:ind w:left="2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CONCEDER pensão previdenciária a WALFREDO COSTA L1NDOSO, na condição de companheiro da ex-servidora ÂNGELA DO SOCORRO FERNANDES BARBA, que ocupava o cargo efetivo de Professor Urbano I, 20H, CA, P4, NI, matricula n. 1852, na Prefeitura de Borba/AM, cujos proventos de pensão representam 60% (sessenta por cento) da remuneração do cargo efetivo, nos termos do art. 48, da Lei Municipal n. 126/2013, com redação da Lei 226/2020, a partir do requerimento, tendo em vista o artigo 32, II,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a,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combinado com o artigo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, I, e artigo 47,1, todos da Lei Municipal n. 126/2013. Totalidade da remuneração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Instituidor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 data do óbito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1.967,87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total dos proventos de pensão (60%)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1.180,72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54" w:val="left"/>
        </w:tabs>
        <w:bidi w:val="0"/>
        <w:spacing w:before="0" w:line="228" w:lineRule="auto"/>
        <w:ind w:left="2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DETERMINAR que seja pago uma cota de 100% do valor dos proventos de pensão a WALFREDO COSTA LINDOSO, o qual deverá ser elevado ao salário mínimo vigente, até 25 de fevereiro de 2038, em atenção ao artigo 50, IV, “c”, 4, da Lei Municipal n. 126/2013.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280" w:right="24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PUBLIQUE-SE, CIENTIFIQUE-SE E CUMPRA-SE. Borba/AM 18 de maio de 2023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ROSEANE SILVA LIMA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 BORBAPREV Dec.l66/2018-GPMB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26" w:lineRule="auto"/>
        <w:ind w:left="3740" w:right="30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Publicado por: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Alcimar Dias Chaves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 Identificador: KTGAORZKT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Matéria publicada no Diário Oficial dos Municípios do Estado do Amazonas no dia 19/05/2023 - N° 3366. A verificação de autenticidade da matéria pode ser feita informando o código identificador no 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https://diariomunicipalaam.org.br</w:t>
      </w:r>
      <w:r>
        <w:fldChar w:fldCharType="end"/>
      </w:r>
    </w:p>
    <w:sectPr>
      <w:footerReference w:type="default" r:id="rId7"/>
      <w:footnotePr>
        <w:pos w:val="pageBottom"/>
        <w:numFmt w:val="decimal"/>
        <w:numRestart w:val="continuous"/>
      </w:footnotePr>
      <w:pgSz w:w="11900" w:h="16840"/>
      <w:pgMar w:top="615" w:left="2283" w:right="2370" w:bottom="721" w:header="187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449580</wp:posOffset>
              </wp:positionH>
              <wp:positionV relativeFrom="page">
                <wp:posOffset>10235565</wp:posOffset>
              </wp:positionV>
              <wp:extent cx="658368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368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36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</w:rPr>
                            <w:t>https://dlartomuniclpalaam.org.br/vertflcar-publlcacao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1/1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5.399999999999999pt;margin-top:805.95000000000005pt;width:518.39999999999998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36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</w:rPr>
                      <w:t>https://dlartomuniclpalaam.org.br/vertflcar-publlcacao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1/1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CharStyle8">
    <w:name w:val="Body text|1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60"/>
      <w:ind w:left="17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120" w:line="245" w:lineRule="auto"/>
      <w:ind w:firstLine="2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8º portaria e publicação.pdf</dc:title>
  <dc:subject/>
  <dc:creator>Anne</dc:creator>
  <cp:keywords/>
</cp:coreProperties>
</file>