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6827" w:h="209" w:wrap="none" w:hAnchor="page" w:x="2637" w:y="1092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rFonts w:ascii="Arial" w:eastAsia="Arial" w:hAnsi="Arial" w:cs="Arial"/>
          <w:sz w:val="22"/>
          <w:szCs w:val="22"/>
        </w:rPr>
        <w:t>BorbaPrev</w:t>
      </w:r>
    </w:p>
    <w:p>
      <w:pPr>
        <w:widowControl w:val="0"/>
        <w:spacing w:line="360" w:lineRule="exact"/>
      </w:pPr>
      <w:r>
        <w:drawing>
          <wp:anchor distT="0" distB="105410" distL="1587500" distR="1975485" simplePos="0" relativeHeight="62914690" behindDoc="1" locked="0" layoutInCell="1" allowOverlap="1">
            <wp:simplePos x="0" y="0"/>
            <wp:positionH relativeFrom="page">
              <wp:posOffset>3261360</wp:posOffset>
            </wp:positionH>
            <wp:positionV relativeFrom="margin">
              <wp:posOffset>0</wp:posOffset>
            </wp:positionV>
            <wp:extent cx="774065" cy="71945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74065" cy="7194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323" w:right="984" w:bottom="1336" w:left="1169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10"/>
          <w:b/>
          <w:bCs/>
          <w:sz w:val="22"/>
          <w:szCs w:val="22"/>
        </w:rPr>
        <w:t>FUNDO MUNICIPAL DE PREVIDÊNCIA SOCIAL DE BORBA</w:t>
        <w:br/>
        <w:t>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10"/>
          <w:b/>
          <w:bCs/>
          <w:sz w:val="22"/>
          <w:szCs w:val="22"/>
        </w:rPr>
        <w:t>21.407.460/0001-09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4943475</wp:posOffset>
                </wp:positionH>
                <wp:positionV relativeFrom="paragraph">
                  <wp:posOffset>12700</wp:posOffset>
                </wp:positionV>
                <wp:extent cx="1813560" cy="1911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3560" cy="191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Borba, 12 de agosto de 2026.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89.25pt;margin-top:1.pt;width:142.80000000000001pt;height:15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Borba, 12 de agosto de 2026.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</w:rPr>
        <w:t xml:space="preserve">CARTA-CIRCULAR N° 08/2026 - </w:t>
      </w:r>
      <w:r>
        <w:rPr>
          <w:rStyle w:val="CharStyle10"/>
          <w:lang w:val="pt-BR" w:eastAsia="pt-BR" w:bidi="pt-BR"/>
        </w:rPr>
        <w:t>BORBAPREV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bookmarkStart w:id="0" w:name="bookmark0"/>
      <w:r>
        <w:rPr>
          <w:rStyle w:val="CharStyle13"/>
          <w:b/>
          <w:bCs/>
        </w:rPr>
        <w:t>GESTÃO FINANCEIRA DO BORBAPREV - REFERÊNCIA: JULHO/2026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0"/>
        </w:rPr>
        <w:t>AOS: SERVIDORES MUNICIPAIS ATIVOS, APOSENTADOS E PENSIONISTAS SEGURADOS DO FUNDO MUNICIPAL DE PREVIDÊNCIA SOCIAL DE BORBA - BORBAPREV.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</w:pPr>
      <w:r>
        <w:rPr>
          <w:rStyle w:val="CharStyle10"/>
        </w:rPr>
        <w:t xml:space="preserve">O </w:t>
      </w:r>
      <w:r>
        <w:rPr>
          <w:rStyle w:val="CharStyle10"/>
          <w:b/>
          <w:bCs/>
          <w:sz w:val="22"/>
          <w:szCs w:val="22"/>
        </w:rPr>
        <w:t xml:space="preserve">FUNDO MUNICIPAL DE PREVIDÊNCIA SOCIAL DE BORBA - BORBAPREV, </w:t>
      </w:r>
      <w:r>
        <w:rPr>
          <w:rStyle w:val="CharStyle10"/>
        </w:rPr>
        <w:t xml:space="preserve">em observância aos princípios da publicidade e transparência, e em cumprimento ao disposto na Lei Federal n° 9.717/98 e na Portaria MTP n° 1.467/2022 (que disciplina os parâmetros gerais dos RPPS), torna público a todos os interessados as informações sobre a gestão financeira deste Regime Próprio, referente ao mês de </w:t>
      </w:r>
      <w:r>
        <w:rPr>
          <w:rStyle w:val="CharStyle10"/>
          <w:b/>
          <w:bCs/>
          <w:sz w:val="22"/>
          <w:szCs w:val="22"/>
        </w:rPr>
        <w:t xml:space="preserve">JULHO de 2026, </w:t>
      </w:r>
      <w:r>
        <w:rPr>
          <w:rStyle w:val="CharStyle10"/>
        </w:rPr>
        <w:t>conforme dados a seguir: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4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10"/>
          <w:b/>
          <w:bCs/>
          <w:sz w:val="22"/>
          <w:szCs w:val="22"/>
        </w:rPr>
        <w:t xml:space="preserve">REPASSES E RECEITAS PREVI DENCIÁRIAS </w:t>
      </w:r>
      <w:r>
        <w:rPr>
          <w:rStyle w:val="CharStyle10"/>
          <w:b/>
          <w:bCs/>
          <w:sz w:val="22"/>
          <w:szCs w:val="22"/>
        </w:rPr>
        <w:t xml:space="preserve">• Repasse Prefeitura (Patronal + Servidor): </w:t>
      </w:r>
      <w:r>
        <w:rPr>
          <w:rStyle w:val="CharStyle10"/>
        </w:rPr>
        <w:t>R$ 458.792,96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0"/>
          <w:b/>
          <w:bCs/>
          <w:sz w:val="22"/>
          <w:szCs w:val="22"/>
        </w:rPr>
        <w:t xml:space="preserve">• Repasse Câmara Municipal: </w:t>
      </w:r>
      <w:r>
        <w:rPr>
          <w:rStyle w:val="CharStyle10"/>
        </w:rPr>
        <w:t>RS 26.477,17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0"/>
          <w:b/>
          <w:bCs/>
          <w:sz w:val="22"/>
          <w:szCs w:val="22"/>
        </w:rPr>
        <w:t xml:space="preserve">• Compensação Previdenciária (Comprev/INSS): </w:t>
      </w:r>
      <w:r>
        <w:rPr>
          <w:rStyle w:val="CharStyle10"/>
        </w:rPr>
        <w:t>R$ 00,00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rStyle w:val="CharStyle10"/>
          <w:b/>
          <w:bCs/>
          <w:sz w:val="22"/>
          <w:szCs w:val="22"/>
        </w:rPr>
        <w:t xml:space="preserve">• Aportes Financeiros (Cobertura de Insuficiência) PREFEITURA: </w:t>
      </w:r>
      <w:r>
        <w:rPr>
          <w:rStyle w:val="CharStyle10"/>
        </w:rPr>
        <w:t>R$ 10.050,20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260" w:line="240" w:lineRule="auto"/>
        <w:ind w:left="0" w:right="0" w:firstLine="0"/>
        <w:jc w:val="left"/>
      </w:pPr>
      <w:bookmarkStart w:id="2" w:name="bookmark2"/>
      <w:r>
        <w:rPr>
          <w:rStyle w:val="CharStyle13"/>
          <w:b/>
          <w:bCs/>
        </w:rPr>
        <w:t>AMORTIZAÇÃO DE DÉBITOS (PARCELAMENTOS)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left"/>
      </w:pPr>
      <w:r>
        <w:rPr>
          <w:rStyle w:val="CharStyle10"/>
        </w:rPr>
        <w:t xml:space="preserve">• Valor destinado à quitação de parcelamentos ordinários (Acordos: 00429 e 00432/2022): </w:t>
      </w:r>
      <w:r>
        <w:rPr>
          <w:rStyle w:val="CharStyle10"/>
          <w:b/>
          <w:bCs/>
          <w:sz w:val="22"/>
          <w:szCs w:val="22"/>
        </w:rPr>
        <w:t xml:space="preserve">PREFEITURA </w:t>
      </w:r>
      <w:r>
        <w:rPr>
          <w:rStyle w:val="CharStyle10"/>
        </w:rPr>
        <w:t>R$ 1.624,35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60" w:lineRule="auto"/>
        <w:ind w:left="0" w:right="0" w:firstLine="0"/>
        <w:jc w:val="left"/>
      </w:pPr>
      <w:r>
        <w:rPr>
          <w:rStyle w:val="CharStyle10"/>
        </w:rPr>
        <w:t xml:space="preserve">• Valor destinado à quitação de parcelamento especial (Acordo: 00327/2023): </w:t>
      </w:r>
      <w:r>
        <w:rPr>
          <w:rStyle w:val="CharStyle10"/>
          <w:b/>
          <w:bCs/>
          <w:sz w:val="22"/>
          <w:szCs w:val="22"/>
        </w:rPr>
        <w:t xml:space="preserve">PREFEITURA </w:t>
      </w:r>
      <w:r>
        <w:rPr>
          <w:rStyle w:val="CharStyle10"/>
        </w:rPr>
        <w:t>R$ 8.041.58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68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10"/>
          <w:b/>
          <w:bCs/>
          <w:sz w:val="22"/>
          <w:szCs w:val="22"/>
        </w:rPr>
        <w:t xml:space="preserve">DESPESAS COM BENEFÍCIOS E ADMINISTRAÇÃO </w:t>
      </w:r>
      <w:r>
        <w:rPr>
          <w:rStyle w:val="CharStyle10"/>
          <w:b/>
          <w:bCs/>
          <w:sz w:val="22"/>
          <w:szCs w:val="22"/>
        </w:rPr>
        <w:t xml:space="preserve">• Pagamento de Aposentadorias: </w:t>
      </w:r>
      <w:r>
        <w:rPr>
          <w:rStyle w:val="CharStyle10"/>
        </w:rPr>
        <w:t>RS 67.914,56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0"/>
          <w:b/>
          <w:bCs/>
          <w:sz w:val="22"/>
          <w:szCs w:val="22"/>
        </w:rPr>
        <w:t xml:space="preserve">• Pagamento de Pensões: </w:t>
      </w:r>
      <w:r>
        <w:rPr>
          <w:rStyle w:val="CharStyle10"/>
        </w:rPr>
        <w:t>R$ 56.266,37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0"/>
          <w:b/>
          <w:bCs/>
          <w:sz w:val="22"/>
          <w:szCs w:val="22"/>
        </w:rPr>
        <w:t xml:space="preserve">• Despesas Administrativas (Taxa de Administração): </w:t>
      </w:r>
      <w:r>
        <w:rPr>
          <w:rStyle w:val="CharStyle10"/>
        </w:rPr>
        <w:t>RS 91.529,04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68350" cy="743585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768350" cy="7435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10"/>
          <w:rFonts w:ascii="Arial" w:eastAsia="Arial" w:hAnsi="Arial" w:cs="Arial"/>
          <w:sz w:val="8"/>
          <w:szCs w:val="8"/>
        </w:rPr>
        <w:t>Seu Futute. Ncssá ítespaftsatídxádde’</w:t>
        <w:br/>
      </w:r>
      <w:r>
        <w:rPr>
          <w:rStyle w:val="CharStyle10"/>
          <w:b/>
          <w:bCs/>
          <w:sz w:val="22"/>
          <w:szCs w:val="22"/>
        </w:rPr>
        <w:t>FUNDO MUNICIPAL DE PREVIDÊNCIA SOCIAL DE BORBA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10"/>
          <w:b/>
          <w:bCs/>
          <w:sz w:val="22"/>
          <w:szCs w:val="22"/>
        </w:rPr>
        <w:t>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10"/>
          <w:b/>
          <w:bCs/>
          <w:sz w:val="22"/>
          <w:szCs w:val="22"/>
        </w:rPr>
        <w:t>21.407.460/0001-09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line="259" w:lineRule="auto"/>
        <w:ind w:left="0" w:right="0" w:firstLine="0"/>
        <w:jc w:val="left"/>
      </w:pPr>
      <w:bookmarkStart w:id="4" w:name="bookmark4"/>
      <w:r>
        <w:rPr>
          <w:rStyle w:val="CharStyle13"/>
          <w:b/>
          <w:bCs/>
        </w:rPr>
        <w:t>SALDOS FINANCEIROS E INVESTIMENTOS EM 31 de Julho de 2026.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60"/>
        <w:jc w:val="left"/>
        <w:rPr>
          <w:sz w:val="22"/>
          <w:szCs w:val="22"/>
        </w:rPr>
      </w:pPr>
      <w:r>
        <w:rPr>
          <w:rStyle w:val="CharStyle10"/>
          <w:lang w:val="pt-BR" w:eastAsia="pt-BR" w:bidi="pt-BR"/>
        </w:rPr>
        <w:t xml:space="preserve">• </w:t>
      </w:r>
      <w:r>
        <w:rPr>
          <w:rStyle w:val="CharStyle10"/>
        </w:rPr>
        <w:t xml:space="preserve">Saldo em conta corrente (Manutenção): </w:t>
      </w:r>
      <w:r>
        <w:rPr>
          <w:rStyle w:val="CharStyle10"/>
          <w:b/>
          <w:bCs/>
          <w:sz w:val="22"/>
          <w:szCs w:val="22"/>
          <w:u w:val="single"/>
        </w:rPr>
        <w:t>RS 00,00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60"/>
        <w:jc w:val="left"/>
        <w:rPr>
          <w:sz w:val="22"/>
          <w:szCs w:val="22"/>
        </w:rPr>
      </w:pPr>
      <w:r>
        <w:rPr>
          <w:rStyle w:val="CharStyle10"/>
        </w:rPr>
        <w:t xml:space="preserve">• Saldo em conta corrente (Contribuição): </w:t>
      </w:r>
      <w:r>
        <w:rPr>
          <w:rStyle w:val="CharStyle10"/>
          <w:b/>
          <w:bCs/>
          <w:sz w:val="22"/>
          <w:szCs w:val="22"/>
          <w:u w:val="single"/>
        </w:rPr>
        <w:t>RS 00,00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60"/>
        <w:jc w:val="left"/>
        <w:rPr>
          <w:sz w:val="22"/>
          <w:szCs w:val="22"/>
        </w:rPr>
      </w:pPr>
      <w:r>
        <w:rPr>
          <w:rStyle w:val="CharStyle10"/>
        </w:rPr>
        <w:t xml:space="preserve">• Saldo em conta corrente (Compensação): </w:t>
      </w:r>
      <w:r>
        <w:rPr>
          <w:rStyle w:val="CharStyle10"/>
          <w:b/>
          <w:bCs/>
          <w:sz w:val="22"/>
          <w:szCs w:val="22"/>
          <w:u w:val="single"/>
        </w:rPr>
        <w:t>RS 00,00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60"/>
        <w:jc w:val="left"/>
        <w:rPr>
          <w:sz w:val="22"/>
          <w:szCs w:val="22"/>
        </w:rPr>
      </w:pPr>
      <w:r>
        <w:rPr>
          <w:rStyle w:val="CharStyle10"/>
        </w:rPr>
        <w:t xml:space="preserve">• Saldo em conta corrente (F. Financeiro): </w:t>
      </w:r>
      <w:r>
        <w:rPr>
          <w:rStyle w:val="CharStyle10"/>
          <w:b/>
          <w:bCs/>
          <w:sz w:val="22"/>
          <w:szCs w:val="22"/>
          <w:u w:val="single"/>
        </w:rPr>
        <w:t>RS 00,00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60"/>
        <w:jc w:val="left"/>
        <w:rPr>
          <w:sz w:val="22"/>
          <w:szCs w:val="22"/>
        </w:rPr>
      </w:pPr>
      <w:r>
        <w:rPr>
          <w:rStyle w:val="CharStyle10"/>
        </w:rPr>
        <w:t xml:space="preserve">• Saldo em conta corrente (Caixa): </w:t>
      </w:r>
      <w:r>
        <w:rPr>
          <w:rStyle w:val="CharStyle10"/>
          <w:b/>
          <w:bCs/>
          <w:sz w:val="22"/>
          <w:szCs w:val="22"/>
          <w:u w:val="single"/>
        </w:rPr>
        <w:t>RS 00,00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60"/>
        <w:jc w:val="left"/>
        <w:rPr>
          <w:sz w:val="22"/>
          <w:szCs w:val="22"/>
        </w:rPr>
      </w:pPr>
      <w:r>
        <w:rPr>
          <w:rStyle w:val="CharStyle10"/>
        </w:rPr>
        <w:t xml:space="preserve">• Saldo em conta corrente (Bradesco): </w:t>
      </w:r>
      <w:r>
        <w:rPr>
          <w:rStyle w:val="CharStyle10"/>
          <w:b/>
          <w:bCs/>
          <w:sz w:val="22"/>
          <w:szCs w:val="22"/>
          <w:u w:val="single"/>
        </w:rPr>
        <w:t>RS 00,00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740"/>
        <w:jc w:val="left"/>
        <w:rPr>
          <w:sz w:val="22"/>
          <w:szCs w:val="22"/>
        </w:rPr>
      </w:pPr>
      <w:r>
        <w:rPr>
          <w:rStyle w:val="CharStyle10"/>
        </w:rPr>
        <w:t xml:space="preserve">Saldo em contas de Investimento: </w:t>
      </w:r>
      <w:r>
        <w:rPr>
          <w:rStyle w:val="CharStyle10"/>
          <w:b/>
          <w:bCs/>
          <w:sz w:val="22"/>
          <w:szCs w:val="22"/>
          <w:u w:val="single"/>
        </w:rPr>
        <w:t>RS 71.137.031,40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4" w:right="981" w:bottom="1950" w:left="1173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Os recursos de investimento </w:t>
      </w:r>
      <w:r>
        <w:rPr>
          <w:rStyle w:val="CharStyle10"/>
          <w:lang w:val="pt-BR" w:eastAsia="pt-BR" w:bidi="pt-BR"/>
        </w:rPr>
        <w:t xml:space="preserve">encontram-se alocados </w:t>
      </w:r>
      <w:r>
        <w:rPr>
          <w:rStyle w:val="CharStyle10"/>
        </w:rPr>
        <w:t>conforme a Política de Investimentos vigente, visando atingir a meta atuarial e garantir o pagamento dos benefícios futuros.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5" w:right="0" w:bottom="12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541" w:h="272" w:wrap="none" w:vAnchor="text" w:hAnchor="page" w:x="4797" w:y="1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b/>
          <w:bCs/>
          <w:sz w:val="22"/>
          <w:szCs w:val="22"/>
        </w:rPr>
        <w:t>Mate</w:t>
      </w:r>
    </w:p>
    <w:p>
      <w:pPr>
        <w:pStyle w:val="Style2"/>
        <w:keepNext w:val="0"/>
        <w:keepLines w:val="0"/>
        <w:framePr w:w="2697" w:h="541" w:wrap="none" w:vAnchor="text" w:hAnchor="page" w:x="4710" w:y="14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Presidente do BorbaWeV~~~</w:t>
      </w:r>
    </w:p>
    <w:p>
      <w:pPr>
        <w:pStyle w:val="Style2"/>
        <w:keepNext w:val="0"/>
        <w:keepLines w:val="0"/>
        <w:framePr w:w="2697" w:h="541" w:wrap="none" w:vAnchor="text" w:hAnchor="page" w:x="4710" w:y="14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2"/>
          <w:szCs w:val="22"/>
        </w:rPr>
      </w:pPr>
      <w:r>
        <w:rPr>
          <w:rStyle w:val="CharStyle3"/>
        </w:rPr>
        <w:t xml:space="preserve">Decreto n° </w:t>
      </w:r>
      <w:r>
        <w:rPr>
          <w:rStyle w:val="CharStyle3"/>
          <w:smallCaps/>
          <w:sz w:val="22"/>
          <w:szCs w:val="22"/>
        </w:rPr>
        <w:t>0889/20?ZgPMB</w:t>
      </w:r>
    </w:p>
    <w:p>
      <w:pPr>
        <w:pStyle w:val="Style2"/>
        <w:keepNext w:val="0"/>
        <w:keepLines w:val="0"/>
        <w:framePr w:w="1106" w:h="272" w:wrap="none" w:vAnchor="text" w:hAnchor="page" w:x="6189" w:y="1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b/>
          <w:bCs/>
          <w:sz w:val="22"/>
          <w:szCs w:val="22"/>
        </w:rPr>
        <w:t>iseca Nun^s</w:t>
      </w:r>
    </w:p>
    <w:p>
      <w:pPr>
        <w:widowControl w:val="0"/>
        <w:spacing w:line="360" w:lineRule="exact"/>
      </w:pPr>
      <w:r>
        <w:drawing>
          <wp:anchor distT="0" distB="544830" distL="0" distR="0" simplePos="0" relativeHeight="62914693" behindDoc="1" locked="0" layoutInCell="1" allowOverlap="1">
            <wp:simplePos x="0" y="0"/>
            <wp:positionH relativeFrom="page">
              <wp:posOffset>2218055</wp:posOffset>
            </wp:positionH>
            <wp:positionV relativeFrom="paragraph">
              <wp:posOffset>12700</wp:posOffset>
            </wp:positionV>
            <wp:extent cx="2536190" cy="68897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536190" cy="6889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4965700</wp:posOffset>
            </wp:positionH>
            <wp:positionV relativeFrom="paragraph">
              <wp:posOffset>656590</wp:posOffset>
            </wp:positionV>
            <wp:extent cx="481330" cy="35941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481330" cy="3594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4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5" w:right="985" w:bottom="1260" w:left="118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1818640</wp:posOffset>
              </wp:positionH>
              <wp:positionV relativeFrom="page">
                <wp:posOffset>9845675</wp:posOffset>
              </wp:positionV>
              <wp:extent cx="4008755" cy="54356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08755" cy="5435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6"/>
                              <w:sz w:val="19"/>
                              <w:szCs w:val="19"/>
                            </w:rPr>
                            <w:t xml:space="preserve">Travessa José Muniz de Castro, s/n, Cristo Rei - </w:t>
                          </w:r>
                          <w:r>
                            <w:rPr>
                              <w:rStyle w:val="CharStyle6"/>
                              <w:sz w:val="19"/>
                              <w:szCs w:val="19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Style w:val="CharStyle6"/>
                              <w:sz w:val="19"/>
                              <w:szCs w:val="19"/>
                            </w:rPr>
                            <w:t>69.200-000/Borba-AM.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6"/>
                              <w:sz w:val="19"/>
                              <w:szCs w:val="19"/>
                            </w:rPr>
                            <w:t>Fone: (92)996020911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6"/>
                              <w:sz w:val="19"/>
                              <w:szCs w:val="19"/>
                              <w:u w:val="single"/>
                              <w:lang w:val="en-US" w:eastAsia="en-US" w:bidi="en-US"/>
                            </w:rPr>
                            <w:t>https://borbaprev.transparencia-am.com.b</w:t>
                          </w:r>
                          <w:r>
                            <w:rPr>
                              <w:rStyle w:val="CharStyle6"/>
                              <w:sz w:val="19"/>
                              <w:szCs w:val="19"/>
                              <w:lang w:val="en-US" w:eastAsia="en-US" w:bidi="en-US"/>
                            </w:rPr>
                            <w:t>r/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6"/>
                              <w:sz w:val="19"/>
                              <w:szCs w:val="19"/>
                            </w:rPr>
                            <w:t xml:space="preserve">E-MAIL: </w:t>
                          </w:r>
                          <w:r>
                            <w:rPr>
                              <w:rStyle w:val="CharStyle6"/>
                              <w:sz w:val="19"/>
                              <w:szCs w:val="19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43.20000000000002pt;margin-top:775.25pt;width:315.65000000000003pt;height:42.8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6"/>
                        <w:sz w:val="19"/>
                        <w:szCs w:val="19"/>
                      </w:rPr>
                      <w:t xml:space="preserve">Travessa José Muniz de Castro, s/n, Cristo Rei - </w:t>
                    </w:r>
                    <w:r>
                      <w:rPr>
                        <w:rStyle w:val="CharStyle6"/>
                        <w:sz w:val="19"/>
                        <w:szCs w:val="19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Style w:val="CharStyle6"/>
                        <w:sz w:val="19"/>
                        <w:szCs w:val="19"/>
                      </w:rPr>
                      <w:t>69.200-000/Borba-AM.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6"/>
                        <w:sz w:val="19"/>
                        <w:szCs w:val="19"/>
                      </w:rPr>
                      <w:t>Fone: (92)996020911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6"/>
                        <w:sz w:val="19"/>
                        <w:szCs w:val="19"/>
                        <w:u w:val="single"/>
                        <w:lang w:val="en-US" w:eastAsia="en-US" w:bidi="en-US"/>
                      </w:rPr>
                      <w:t>https://borbaprev.transparencia-am.com.b</w:t>
                    </w:r>
                    <w:r>
                      <w:rPr>
                        <w:rStyle w:val="CharStyle6"/>
                        <w:sz w:val="19"/>
                        <w:szCs w:val="19"/>
                        <w:lang w:val="en-US" w:eastAsia="en-US" w:bidi="en-US"/>
                      </w:rPr>
                      <w:t>r/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6"/>
                        <w:sz w:val="19"/>
                        <w:szCs w:val="19"/>
                      </w:rPr>
                      <w:t xml:space="preserve">E-MAIL: </w:t>
                    </w:r>
                    <w:r>
                      <w:rPr>
                        <w:rStyle w:val="CharStyle6"/>
                        <w:sz w:val="19"/>
                        <w:szCs w:val="19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Heading #1|1_"/>
    <w:basedOn w:val="DefaultParagraphFont"/>
    <w:link w:val="Style12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|2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auto"/>
      <w:spacing w:after="26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auto"/>
      <w:spacing w:after="280" w:line="250" w:lineRule="auto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CARTA CIRCULAR Nº 08_2026.PDF</dc:title>
  <dc:subject/>
  <dc:creator>LUIZ ROZINALDO GOES</dc:creator>
  <cp:keywords/>
</cp:coreProperties>
</file>