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420" w:after="760"/>
        <w:ind w:left="880" w:right="0" w:firstLine="440"/>
        <w:jc w:val="left"/>
      </w:pPr>
      <w:r>
        <w:rPr>
          <w:b/>
          <w:bCs/>
          <w:color w:val="000000"/>
          <w:spacing w:val="0"/>
          <w:w w:val="100"/>
          <w:position w:val="0"/>
          <w:shd w:val="clear" w:color="auto" w:fill="auto"/>
          <w:lang w:val="pt-PT" w:eastAsia="pt-PT" w:bidi="pt-PT"/>
        </w:rPr>
        <w:t>TERMO DE CONTRATO - CONTRATAÇÃO DIRETA (LEI N° 14.133/21) PRESTAÇÃO DE SERVIÇOS SEM DEDICAÇÃO EXCLUSIVA DE MÃO DE OBRA</w:t>
      </w:r>
    </w:p>
    <w:p>
      <w:pPr>
        <w:pStyle w:val="Style2"/>
        <w:keepNext w:val="0"/>
        <w:keepLines w:val="0"/>
        <w:widowControl w:val="0"/>
        <w:shd w:val="clear" w:color="auto" w:fill="auto"/>
        <w:bidi w:val="0"/>
        <w:spacing w:before="0" w:after="0" w:line="379" w:lineRule="auto"/>
        <w:ind w:left="4180" w:right="0" w:firstLine="20"/>
        <w:jc w:val="both"/>
      </w:pPr>
      <w:r>
        <w:rPr>
          <w:b/>
          <w:bCs/>
          <w:color w:val="000000"/>
          <w:spacing w:val="0"/>
          <w:w w:val="100"/>
          <w:position w:val="0"/>
          <w:shd w:val="clear" w:color="auto" w:fill="auto"/>
          <w:lang w:val="pt-PT" w:eastAsia="pt-PT" w:bidi="pt-PT"/>
        </w:rPr>
        <w:t>CONTRATO ADMINISTRATIVO N° 010/2026, QUE FAZEM</w:t>
      </w:r>
    </w:p>
    <w:p>
      <w:pPr>
        <w:pStyle w:val="Style16"/>
        <w:keepNext/>
        <w:keepLines/>
        <w:widowControl w:val="0"/>
        <w:shd w:val="clear" w:color="auto" w:fill="auto"/>
        <w:bidi w:val="0"/>
        <w:spacing w:before="0" w:after="240" w:line="379" w:lineRule="auto"/>
        <w:ind w:left="4180" w:right="0" w:firstLine="20"/>
        <w:jc w:val="both"/>
      </w:pPr>
      <w:bookmarkStart w:id="0" w:name="bookmark0"/>
      <w:r>
        <w:rPr>
          <w:color w:val="000000"/>
          <w:spacing w:val="0"/>
          <w:w w:val="100"/>
          <w:position w:val="0"/>
          <w:shd w:val="clear" w:color="auto" w:fill="auto"/>
          <w:lang w:val="pt-PT" w:eastAsia="pt-PT" w:bidi="pt-PT"/>
        </w:rPr>
        <w:t xml:space="preserve">ENTRE SI A PREFEITURA MUNICIPAL DE BERURI, E A RM SOLUÇÕES </w:t>
      </w:r>
      <w:r>
        <w:rPr>
          <w:color w:val="000000"/>
          <w:spacing w:val="0"/>
          <w:w w:val="100"/>
          <w:position w:val="0"/>
          <w:shd w:val="clear" w:color="auto" w:fill="auto"/>
          <w:lang w:val="pt-BR" w:eastAsia="pt-BR" w:bidi="pt-BR"/>
        </w:rPr>
        <w:t xml:space="preserve">CONTÁBEIS </w:t>
      </w:r>
      <w:r>
        <w:rPr>
          <w:color w:val="000000"/>
          <w:spacing w:val="0"/>
          <w:w w:val="100"/>
          <w:position w:val="0"/>
          <w:shd w:val="clear" w:color="auto" w:fill="auto"/>
          <w:lang w:val="pt-PT" w:eastAsia="pt-PT" w:bidi="pt-PT"/>
        </w:rPr>
        <w:t>LTDA.</w:t>
      </w:r>
      <w:bookmarkEnd w:id="0"/>
    </w:p>
    <w:p>
      <w:pPr>
        <w:pStyle w:val="Style2"/>
        <w:keepNext w:val="0"/>
        <w:keepLines w:val="0"/>
        <w:widowControl w:val="0"/>
        <w:shd w:val="clear" w:color="auto" w:fill="auto"/>
        <w:bidi w:val="0"/>
        <w:spacing w:before="0" w:after="240" w:line="382" w:lineRule="auto"/>
        <w:ind w:left="200" w:right="0" w:firstLine="20"/>
        <w:jc w:val="both"/>
      </w:pPr>
      <w:r>
        <w:rPr>
          <w:color w:val="000000"/>
          <w:spacing w:val="0"/>
          <w:w w:val="100"/>
          <w:position w:val="0"/>
          <w:shd w:val="clear" w:color="auto" w:fill="auto"/>
          <w:lang w:val="pt-PT" w:eastAsia="pt-PT" w:bidi="pt-PT"/>
        </w:rPr>
        <w:t xml:space="preserve">Aos 27 (vinte e sete) dias do Mês de fevereiro do ano de 2026, em Beruri, Estado do Amazonas, na Prefeitura Municipal de Beruri, situada na Avenida Costa e Silva, São Francisco, S/n, cep 69.430-000, Representada por seu Prefeito o Senhor Emerson Klinger Gonçalves de Mello, brasileiro, residente e domiciliado neste Município, na Rua Oriel Pereira, 15, São Pedro, </w:t>
      </w:r>
      <w:r>
        <w:rPr>
          <w:color w:val="000000"/>
          <w:spacing w:val="0"/>
          <w:w w:val="100"/>
          <w:position w:val="0"/>
          <w:shd w:val="clear" w:color="auto" w:fill="auto"/>
          <w:lang w:val="pt-BR" w:eastAsia="pt-BR" w:bidi="pt-BR"/>
        </w:rPr>
        <w:t xml:space="preserve">CEP </w:t>
      </w:r>
      <w:r>
        <w:rPr>
          <w:color w:val="000000"/>
          <w:spacing w:val="0"/>
          <w:w w:val="100"/>
          <w:position w:val="0"/>
          <w:shd w:val="clear" w:color="auto" w:fill="auto"/>
          <w:lang w:val="pt-PT" w:eastAsia="pt-PT" w:bidi="pt-PT"/>
        </w:rPr>
        <w:t xml:space="preserve">69430-000, Beruri/Am, portadora da cédula de identidade n° 20042949 - SSSP/AM e do CPF: de n° 880.282.672-20, ora designado simplesmente </w:t>
      </w:r>
      <w:r>
        <w:rPr>
          <w:b/>
          <w:bCs/>
          <w:color w:val="000000"/>
          <w:spacing w:val="0"/>
          <w:w w:val="100"/>
          <w:position w:val="0"/>
          <w:shd w:val="clear" w:color="auto" w:fill="auto"/>
          <w:lang w:val="pt-PT" w:eastAsia="pt-PT" w:bidi="pt-PT"/>
        </w:rPr>
        <w:t xml:space="preserve">CONTRATANTE </w:t>
      </w:r>
      <w:r>
        <w:rPr>
          <w:color w:val="000000"/>
          <w:spacing w:val="0"/>
          <w:w w:val="100"/>
          <w:position w:val="0"/>
          <w:shd w:val="clear" w:color="auto" w:fill="auto"/>
          <w:lang w:val="pt-PT" w:eastAsia="pt-PT" w:bidi="pt-PT"/>
        </w:rPr>
        <w:t xml:space="preserve">e do outro lado a Empresa RM SOLUÇÕES </w:t>
      </w:r>
      <w:r>
        <w:rPr>
          <w:color w:val="000000"/>
          <w:spacing w:val="0"/>
          <w:w w:val="100"/>
          <w:position w:val="0"/>
          <w:shd w:val="clear" w:color="auto" w:fill="auto"/>
          <w:lang w:val="pt-BR" w:eastAsia="pt-BR" w:bidi="pt-BR"/>
        </w:rPr>
        <w:t xml:space="preserve">CONTÁBEIS </w:t>
      </w:r>
      <w:r>
        <w:rPr>
          <w:color w:val="000000"/>
          <w:spacing w:val="0"/>
          <w:w w:val="100"/>
          <w:position w:val="0"/>
          <w:shd w:val="clear" w:color="auto" w:fill="auto"/>
          <w:lang w:val="pt-PT" w:eastAsia="pt-PT" w:bidi="pt-PT"/>
        </w:rPr>
        <w:t xml:space="preserve">LTDA no CNPJ/MF sob o N° 37.197.658/0001-45 designada simplesmente </w:t>
      </w:r>
      <w:r>
        <w:rPr>
          <w:b/>
          <w:bCs/>
          <w:color w:val="000000"/>
          <w:spacing w:val="0"/>
          <w:w w:val="100"/>
          <w:position w:val="0"/>
          <w:shd w:val="clear" w:color="auto" w:fill="auto"/>
          <w:lang w:val="pt-PT" w:eastAsia="pt-PT" w:bidi="pt-PT"/>
        </w:rPr>
        <w:t xml:space="preserve">CONTRATADA, </w:t>
      </w:r>
      <w:r>
        <w:rPr>
          <w:color w:val="000000"/>
          <w:spacing w:val="0"/>
          <w:w w:val="100"/>
          <w:position w:val="0"/>
          <w:shd w:val="clear" w:color="auto" w:fill="auto"/>
          <w:lang w:val="pt-PT" w:eastAsia="pt-PT" w:bidi="pt-PT"/>
        </w:rPr>
        <w:t xml:space="preserve">estabelecida na Rua Omã, n° 20, Conj. Nova Cidade, Bairro: Nova Cidade, </w:t>
      </w:r>
      <w:r>
        <w:rPr>
          <w:color w:val="000000"/>
          <w:spacing w:val="0"/>
          <w:w w:val="100"/>
          <w:position w:val="0"/>
          <w:shd w:val="clear" w:color="auto" w:fill="auto"/>
          <w:lang w:val="pt-BR" w:eastAsia="pt-BR" w:bidi="pt-BR"/>
        </w:rPr>
        <w:t xml:space="preserve">CEP: </w:t>
      </w:r>
      <w:r>
        <w:rPr>
          <w:color w:val="000000"/>
          <w:spacing w:val="0"/>
          <w:w w:val="100"/>
          <w:position w:val="0"/>
          <w:shd w:val="clear" w:color="auto" w:fill="auto"/>
          <w:lang w:val="pt-PT" w:eastAsia="pt-PT" w:bidi="pt-PT"/>
        </w:rPr>
        <w:t xml:space="preserve">69097- 371, representada por sua Representante Legal, a senhora Rome Cineide Gomes Mello, brasileira, solteira, </w:t>
      </w:r>
      <w:r>
        <w:rPr>
          <w:color w:val="000000"/>
          <w:spacing w:val="0"/>
          <w:w w:val="100"/>
          <w:position w:val="0"/>
          <w:shd w:val="clear" w:color="auto" w:fill="auto"/>
          <w:lang w:val="pt-BR" w:eastAsia="pt-BR" w:bidi="pt-BR"/>
        </w:rPr>
        <w:t xml:space="preserve">empresária, </w:t>
      </w:r>
      <w:r>
        <w:rPr>
          <w:color w:val="000000"/>
          <w:spacing w:val="0"/>
          <w:w w:val="100"/>
          <w:position w:val="0"/>
          <w:shd w:val="clear" w:color="auto" w:fill="auto"/>
          <w:lang w:val="pt-PT" w:eastAsia="pt-PT" w:bidi="pt-PT"/>
        </w:rPr>
        <w:t xml:space="preserve">portador do documento de Identidade n° 07740417 SSP-AM, inscrito no CPF sob o número 284.075.472-04, residente e domiciliado, na Rua Omã, n° 20, Quadra 105, Bairro Nova Cidade, </w:t>
      </w:r>
      <w:r>
        <w:rPr>
          <w:color w:val="000000"/>
          <w:spacing w:val="0"/>
          <w:w w:val="100"/>
          <w:position w:val="0"/>
          <w:shd w:val="clear" w:color="auto" w:fill="auto"/>
          <w:lang w:val="pt-BR" w:eastAsia="pt-BR" w:bidi="pt-BR"/>
        </w:rPr>
        <w:t xml:space="preserve">CEP </w:t>
      </w:r>
      <w:r>
        <w:rPr>
          <w:color w:val="000000"/>
          <w:spacing w:val="0"/>
          <w:w w:val="100"/>
          <w:position w:val="0"/>
          <w:shd w:val="clear" w:color="auto" w:fill="auto"/>
          <w:lang w:val="pt-PT" w:eastAsia="pt-PT" w:bidi="pt-PT"/>
        </w:rPr>
        <w:t xml:space="preserve">69097-371, ManausAM, tendo em vista o que consta do Processo Administrativo e o despacho autorizativo exarado pela Senhora </w:t>
      </w:r>
      <w:r>
        <w:rPr>
          <w:color w:val="000000"/>
          <w:spacing w:val="0"/>
          <w:w w:val="100"/>
          <w:position w:val="0"/>
          <w:shd w:val="clear" w:color="auto" w:fill="auto"/>
          <w:lang w:val="pt-BR" w:eastAsia="pt-BR" w:bidi="pt-BR"/>
        </w:rPr>
        <w:t xml:space="preserve">Prefeita </w:t>
      </w:r>
      <w:r>
        <w:rPr>
          <w:color w:val="000000"/>
          <w:spacing w:val="0"/>
          <w:w w:val="100"/>
          <w:position w:val="0"/>
          <w:shd w:val="clear" w:color="auto" w:fill="auto"/>
          <w:lang w:val="pt-PT" w:eastAsia="pt-PT" w:bidi="pt-PT"/>
        </w:rPr>
        <w:t xml:space="preserve">do Município de Beruri, na presença das testemunhas adiante nominadas, tendo em vista o que consta no Processo n° 00080902.2026.0008 - SEMUF e em observância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disposições da Lei n° 14.133, de 2021 e da Instrução Normativa SEGES/ME n° 75, de 2021, resolvem celebrar o presente Termo de Contrato, decorrente da Contratação Direta n° 002/2026, mediante as cláusulas e condições a seguir enunciadas.</w:t>
      </w:r>
    </w:p>
    <w:p>
      <w:pPr>
        <w:pStyle w:val="Style16"/>
        <w:keepNext/>
        <w:keepLines/>
        <w:widowControl w:val="0"/>
        <w:numPr>
          <w:ilvl w:val="0"/>
          <w:numId w:val="1"/>
        </w:numPr>
        <w:shd w:val="clear" w:color="auto" w:fill="auto"/>
        <w:tabs>
          <w:tab w:pos="288" w:val="left"/>
        </w:tabs>
        <w:bidi w:val="0"/>
        <w:spacing w:before="0" w:after="120" w:line="240" w:lineRule="auto"/>
        <w:ind w:left="0" w:right="0" w:firstLine="0"/>
        <w:jc w:val="left"/>
      </w:pPr>
      <w:bookmarkStart w:id="1" w:name="bookmark1"/>
      <w:r>
        <w:rPr>
          <w:color w:val="000000"/>
          <w:spacing w:val="0"/>
          <w:w w:val="100"/>
          <w:position w:val="0"/>
          <w:shd w:val="clear" w:color="auto" w:fill="auto"/>
          <w:lang w:val="pt-PT" w:eastAsia="pt-PT" w:bidi="pt-PT"/>
        </w:rPr>
        <w:t xml:space="preserve">CLÁUSULA PRIMEIRA - OBJETO </w:t>
      </w:r>
      <w:r>
        <w:rPr>
          <w:color w:val="000000"/>
          <w:spacing w:val="0"/>
          <w:w w:val="100"/>
          <w:position w:val="0"/>
          <w:shd w:val="clear" w:color="auto" w:fill="auto"/>
          <w:lang w:val="pt-BR" w:eastAsia="pt-BR" w:bidi="pt-BR"/>
        </w:rPr>
        <w:t xml:space="preserve">(art </w:t>
      </w:r>
      <w:r>
        <w:rPr>
          <w:color w:val="000000"/>
          <w:spacing w:val="0"/>
          <w:w w:val="100"/>
          <w:position w:val="0"/>
          <w:shd w:val="clear" w:color="auto" w:fill="auto"/>
          <w:lang w:val="pt-PT" w:eastAsia="pt-PT" w:bidi="pt-PT"/>
        </w:rPr>
        <w:t>92,1 e II)</w:t>
      </w:r>
      <w:bookmarkEnd w:id="1"/>
    </w:p>
    <w:p>
      <w:pPr>
        <w:pStyle w:val="Style2"/>
        <w:keepNext w:val="0"/>
        <w:keepLines w:val="0"/>
        <w:widowControl w:val="0"/>
        <w:numPr>
          <w:ilvl w:val="1"/>
          <w:numId w:val="1"/>
        </w:numPr>
        <w:shd w:val="clear" w:color="auto" w:fill="auto"/>
        <w:tabs>
          <w:tab w:pos="812" w:val="left"/>
        </w:tabs>
        <w:bidi w:val="0"/>
        <w:spacing w:before="0" w:after="240" w:line="240" w:lineRule="auto"/>
        <w:ind w:left="380" w:right="0" w:firstLine="0"/>
        <w:jc w:val="left"/>
      </w:pPr>
      <w:r>
        <w:rPr>
          <w:color w:val="000000"/>
          <w:spacing w:val="0"/>
          <w:w w:val="100"/>
          <w:position w:val="0"/>
          <w:shd w:val="clear" w:color="auto" w:fill="auto"/>
          <w:lang w:val="pt-PT" w:eastAsia="pt-PT" w:bidi="pt-PT"/>
        </w:rPr>
        <w:t>Objeto da contratação:</w:t>
      </w:r>
    </w:p>
    <w:tbl>
      <w:tblPr>
        <w:tblOverlap w:val="never"/>
        <w:jc w:val="center"/>
        <w:tblLayout w:type="fixed"/>
      </w:tblPr>
      <w:tblGrid>
        <w:gridCol w:w="761"/>
        <w:gridCol w:w="5975"/>
        <w:gridCol w:w="1153"/>
        <w:gridCol w:w="1588"/>
      </w:tblGrid>
      <w:tr>
        <w:trPr>
          <w:trHeight w:val="502" w:hRule="exact"/>
        </w:trPr>
        <w:tc>
          <w:tcPr>
            <w:tcBorders>
              <w:top w:val="single" w:sz="4"/>
              <w:left w:val="single" w:sz="4"/>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ITEM</w:t>
            </w:r>
          </w:p>
        </w:tc>
        <w:tc>
          <w:tcPr>
            <w:tcBorders>
              <w:top w:val="single" w:sz="4"/>
              <w:left w:val="single" w:sz="4"/>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DESCRIÇÃO</w:t>
            </w:r>
          </w:p>
        </w:tc>
        <w:tc>
          <w:tcPr>
            <w:tcBorders>
              <w:top w:val="single" w:sz="4"/>
              <w:left w:val="single" w:sz="4"/>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UNIDADE</w:t>
            </w:r>
          </w:p>
        </w:tc>
        <w:tc>
          <w:tcPr>
            <w:tcBorders>
              <w:top w:val="single" w:sz="4"/>
              <w:left w:val="single" w:sz="4"/>
              <w:right w:val="single" w:sz="4"/>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QUANTIDADE</w:t>
            </w:r>
          </w:p>
        </w:tc>
      </w:tr>
      <w:tr>
        <w:trPr>
          <w:trHeight w:val="1775" w:hRule="exact"/>
        </w:trPr>
        <w:tc>
          <w:tcPr>
            <w:tcBorders>
              <w:top w:val="single" w:sz="4"/>
              <w:left w:val="single" w:sz="4"/>
              <w:bottom w:val="single" w:sz="4"/>
            </w:tcBorders>
            <w:shd w:val="clear" w:color="auto" w:fill="FFFFFF"/>
            <w:vAlign w:val="center"/>
          </w:tcPr>
          <w:p>
            <w:pPr>
              <w:pStyle w:val="Style20"/>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1</w:t>
            </w:r>
          </w:p>
        </w:tc>
        <w:tc>
          <w:tcPr>
            <w:tcBorders>
              <w:top w:val="single" w:sz="4"/>
              <w:left w:val="single" w:sz="4"/>
              <w:bottom w:val="single" w:sz="4"/>
            </w:tcBorders>
            <w:shd w:val="clear" w:color="auto" w:fill="FFFFFF"/>
            <w:vAlign w:val="top"/>
          </w:tcPr>
          <w:p>
            <w:pPr>
              <w:pStyle w:val="Style20"/>
              <w:keepNext w:val="0"/>
              <w:keepLines w:val="0"/>
              <w:widowControl w:val="0"/>
              <w:shd w:val="clear" w:color="auto" w:fill="auto"/>
              <w:bidi w:val="0"/>
              <w:spacing w:before="0" w:after="0" w:line="271"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CONTRATAÇÃO DE EMPRESA ESPECIALIZADA PARA PRESTAÇÃO DE SERVIÇOS DE APOIO, ASSESSORIA E CONSULTORIA </w:t>
            </w:r>
            <w:r>
              <w:rPr>
                <w:rFonts w:ascii="Times New Roman" w:eastAsia="Times New Roman" w:hAnsi="Times New Roman" w:cs="Times New Roman"/>
                <w:b/>
                <w:bCs/>
                <w:color w:val="000000"/>
                <w:spacing w:val="0"/>
                <w:w w:val="100"/>
                <w:position w:val="0"/>
                <w:shd w:val="clear" w:color="auto" w:fill="auto"/>
                <w:lang w:val="pt-BR" w:eastAsia="pt-BR" w:bidi="pt-BR"/>
              </w:rPr>
              <w:t xml:space="preserve">CONTÁBIL, </w:t>
            </w:r>
            <w:r>
              <w:rPr>
                <w:rFonts w:ascii="Times New Roman" w:eastAsia="Times New Roman" w:hAnsi="Times New Roman" w:cs="Times New Roman"/>
                <w:b/>
                <w:bCs/>
                <w:color w:val="000000"/>
                <w:spacing w:val="0"/>
                <w:w w:val="100"/>
                <w:position w:val="0"/>
                <w:shd w:val="clear" w:color="auto" w:fill="auto"/>
                <w:lang w:val="pt-PT" w:eastAsia="pt-PT" w:bidi="pt-PT"/>
              </w:rPr>
              <w:t xml:space="preserve">DESTINADOS À ELABORAÇÃO DO BALANÇO GERAL DO EXERCÍCIO DE 2025 (PCA 2025) E AO SUPORTE TÉCNICO NA ELABORAÇÃO DA LDO E DA LOA DO EXERCÍCIO DE 2027, PARA ATENDER </w:t>
            </w:r>
            <w:r>
              <w:rPr>
                <w:rFonts w:ascii="Times New Roman" w:eastAsia="Times New Roman" w:hAnsi="Times New Roman" w:cs="Times New Roman"/>
                <w:b/>
                <w:bCs/>
                <w:color w:val="000000"/>
                <w:spacing w:val="0"/>
                <w:w w:val="100"/>
                <w:position w:val="0"/>
                <w:shd w:val="clear" w:color="auto" w:fill="auto"/>
                <w:lang w:val="pt-BR" w:eastAsia="pt-BR" w:bidi="pt-BR"/>
              </w:rPr>
              <w:t xml:space="preserve">ÀS </w:t>
            </w:r>
            <w:r>
              <w:rPr>
                <w:rFonts w:ascii="Times New Roman" w:eastAsia="Times New Roman" w:hAnsi="Times New Roman" w:cs="Times New Roman"/>
                <w:b/>
                <w:bCs/>
                <w:color w:val="000000"/>
                <w:spacing w:val="0"/>
                <w:w w:val="100"/>
                <w:position w:val="0"/>
                <w:shd w:val="clear" w:color="auto" w:fill="auto"/>
                <w:lang w:val="pt-PT" w:eastAsia="pt-PT" w:bidi="pt-PT"/>
              </w:rPr>
              <w:t>NECESSIDADES DO MUNICÍPIO DE BERURI/AM</w:t>
            </w:r>
          </w:p>
        </w:tc>
        <w:tc>
          <w:tcPr>
            <w:tcBorders>
              <w:top w:val="single" w:sz="4"/>
              <w:left w:val="single" w:sz="4"/>
              <w:bottom w:val="single" w:sz="4"/>
            </w:tcBorders>
            <w:shd w:val="clear" w:color="auto" w:fill="FFFFFF"/>
            <w:vAlign w:val="center"/>
          </w:tcPr>
          <w:p>
            <w:pPr>
              <w:pStyle w:val="Style20"/>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Serviço</w:t>
            </w:r>
          </w:p>
        </w:tc>
        <w:tc>
          <w:tcPr>
            <w:tcBorders>
              <w:top w:val="single" w:sz="4"/>
              <w:left w:val="single" w:sz="4"/>
              <w:bottom w:val="single" w:sz="4"/>
              <w:right w:val="single" w:sz="4"/>
            </w:tcBorders>
            <w:shd w:val="clear" w:color="auto" w:fill="FFFFFF"/>
            <w:vAlign w:val="center"/>
          </w:tcPr>
          <w:p>
            <w:pPr>
              <w:pStyle w:val="Style20"/>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30 dias</w:t>
            </w:r>
          </w:p>
        </w:tc>
      </w:tr>
    </w:tbl>
    <w:p>
      <w:pPr>
        <w:pStyle w:val="Style18"/>
        <w:keepNext w:val="0"/>
        <w:keepLines w:val="0"/>
        <w:widowControl w:val="0"/>
        <w:shd w:val="clear" w:color="auto" w:fill="auto"/>
        <w:bidi w:val="0"/>
        <w:spacing w:before="0" w:after="0" w:line="240" w:lineRule="auto"/>
        <w:ind w:left="359" w:right="0" w:firstLine="0"/>
        <w:jc w:val="left"/>
      </w:pPr>
      <w:r>
        <w:rPr>
          <w:color w:val="000000"/>
          <w:spacing w:val="0"/>
          <w:w w:val="100"/>
          <w:position w:val="0"/>
          <w:shd w:val="clear" w:color="auto" w:fill="auto"/>
          <w:lang w:val="pt-PT" w:eastAsia="pt-PT" w:bidi="pt-PT"/>
        </w:rPr>
        <w:t>1.2. transcrição:</w:t>
      </w:r>
    </w:p>
    <w:p>
      <w:pPr>
        <w:pStyle w:val="Style2"/>
        <w:keepNext w:val="0"/>
        <w:keepLines w:val="0"/>
        <w:widowControl w:val="0"/>
        <w:numPr>
          <w:ilvl w:val="0"/>
          <w:numId w:val="3"/>
        </w:numPr>
        <w:shd w:val="clear" w:color="auto" w:fill="auto"/>
        <w:tabs>
          <w:tab w:pos="1833" w:val="left"/>
        </w:tabs>
        <w:bidi w:val="0"/>
        <w:spacing w:before="0" w:after="340" w:line="240" w:lineRule="auto"/>
        <w:ind w:left="1160" w:right="0" w:firstLine="20"/>
        <w:jc w:val="both"/>
      </w:pPr>
      <w:r>
        <w:rPr>
          <w:color w:val="000000"/>
          <w:spacing w:val="0"/>
          <w:w w:val="100"/>
          <w:position w:val="0"/>
          <w:shd w:val="clear" w:color="auto" w:fill="auto"/>
          <w:lang w:val="pt-PT" w:eastAsia="pt-PT" w:bidi="pt-PT"/>
        </w:rPr>
        <w:t>O Termo de Referência que embasou a contratação;</w:t>
      </w:r>
    </w:p>
    <w:p>
      <w:pPr>
        <w:pStyle w:val="Style2"/>
        <w:keepNext w:val="0"/>
        <w:keepLines w:val="0"/>
        <w:widowControl w:val="0"/>
        <w:numPr>
          <w:ilvl w:val="0"/>
          <w:numId w:val="3"/>
        </w:numPr>
        <w:shd w:val="clear" w:color="auto" w:fill="auto"/>
        <w:tabs>
          <w:tab w:pos="1808" w:val="left"/>
        </w:tabs>
        <w:bidi w:val="0"/>
        <w:spacing w:before="0" w:after="100" w:line="290" w:lineRule="auto"/>
        <w:ind w:left="1160" w:right="0" w:firstLine="20"/>
        <w:jc w:val="both"/>
      </w:pPr>
      <w:r>
        <w:rPr>
          <w:color w:val="000000"/>
          <w:spacing w:val="0"/>
          <w:w w:val="100"/>
          <w:position w:val="0"/>
          <w:shd w:val="clear" w:color="auto" w:fill="auto"/>
          <w:lang w:val="pt-PT" w:eastAsia="pt-PT" w:bidi="pt-PT"/>
        </w:rPr>
        <w:t xml:space="preserve">O Edital de Licitação, a Autorização de Contratação Direta e/ou o Aviso de Dispensa </w:t>
      </w:r>
      <w:r>
        <w:rPr>
          <w:color w:val="000000"/>
          <w:spacing w:val="0"/>
          <w:w w:val="100"/>
          <w:position w:val="0"/>
          <w:shd w:val="clear" w:color="auto" w:fill="auto"/>
          <w:lang w:val="pt-BR" w:eastAsia="pt-BR" w:bidi="pt-BR"/>
        </w:rPr>
        <w:t xml:space="preserve">Eletrônica, </w:t>
      </w:r>
      <w:r>
        <w:rPr>
          <w:color w:val="000000"/>
          <w:spacing w:val="0"/>
          <w:w w:val="100"/>
          <w:position w:val="0"/>
          <w:shd w:val="clear" w:color="auto" w:fill="auto"/>
          <w:lang w:val="pt-PT" w:eastAsia="pt-PT" w:bidi="pt-PT"/>
        </w:rPr>
        <w:t>caso existentes;</w:t>
      </w:r>
    </w:p>
    <w:p>
      <w:pPr>
        <w:pStyle w:val="Style2"/>
        <w:keepNext w:val="0"/>
        <w:keepLines w:val="0"/>
        <w:widowControl w:val="0"/>
        <w:numPr>
          <w:ilvl w:val="0"/>
          <w:numId w:val="3"/>
        </w:numPr>
        <w:shd w:val="clear" w:color="auto" w:fill="auto"/>
        <w:tabs>
          <w:tab w:pos="1828" w:val="left"/>
        </w:tabs>
        <w:bidi w:val="0"/>
        <w:spacing w:before="0" w:after="100"/>
        <w:ind w:left="1160" w:right="0" w:firstLine="20"/>
        <w:jc w:val="both"/>
      </w:pPr>
      <w:r>
        <w:rPr>
          <w:color w:val="000000"/>
          <w:spacing w:val="0"/>
          <w:w w:val="100"/>
          <w:position w:val="0"/>
          <w:shd w:val="clear" w:color="auto" w:fill="auto"/>
          <w:lang w:val="pt-PT" w:eastAsia="pt-PT" w:bidi="pt-PT"/>
        </w:rPr>
        <w:t>A Proposta do Contratado; e</w:t>
      </w:r>
    </w:p>
    <w:p>
      <w:pPr>
        <w:pStyle w:val="Style2"/>
        <w:keepNext w:val="0"/>
        <w:keepLines w:val="0"/>
        <w:widowControl w:val="0"/>
        <w:numPr>
          <w:ilvl w:val="0"/>
          <w:numId w:val="3"/>
        </w:numPr>
        <w:shd w:val="clear" w:color="auto" w:fill="auto"/>
        <w:tabs>
          <w:tab w:pos="1828" w:val="left"/>
        </w:tabs>
        <w:bidi w:val="0"/>
        <w:spacing w:before="0" w:after="240"/>
        <w:ind w:left="1160" w:right="0" w:firstLine="20"/>
        <w:jc w:val="both"/>
      </w:pPr>
      <w:r>
        <w:rPr>
          <w:color w:val="000000"/>
          <w:spacing w:val="0"/>
          <w:w w:val="100"/>
          <w:position w:val="0"/>
          <w:shd w:val="clear" w:color="auto" w:fill="auto"/>
          <w:lang w:val="pt-PT" w:eastAsia="pt-PT" w:bidi="pt-PT"/>
        </w:rPr>
        <w:t>Eventuais anexos dos documentos supracitados.</w:t>
      </w:r>
    </w:p>
    <w:p>
      <w:pPr>
        <w:pStyle w:val="Style16"/>
        <w:keepNext/>
        <w:keepLines/>
        <w:widowControl w:val="0"/>
        <w:numPr>
          <w:ilvl w:val="0"/>
          <w:numId w:val="1"/>
        </w:numPr>
        <w:shd w:val="clear" w:color="auto" w:fill="auto"/>
        <w:tabs>
          <w:tab w:pos="342" w:val="left"/>
        </w:tabs>
        <w:bidi w:val="0"/>
        <w:spacing w:before="0"/>
        <w:ind w:left="0" w:right="0" w:firstLine="0"/>
        <w:jc w:val="both"/>
      </w:pPr>
      <w:bookmarkStart w:id="2" w:name="bookmark2"/>
      <w:r>
        <w:rPr>
          <w:color w:val="000000"/>
          <w:spacing w:val="0"/>
          <w:w w:val="100"/>
          <w:position w:val="0"/>
          <w:shd w:val="clear" w:color="auto" w:fill="auto"/>
          <w:lang w:val="pt-PT" w:eastAsia="pt-PT" w:bidi="pt-PT"/>
        </w:rPr>
        <w:t>CLÁUSULA SEGUNDA - VIGÊNCIA E PRORROGAÇÃO.</w:t>
      </w:r>
      <w:bookmarkEnd w:id="2"/>
    </w:p>
    <w:p>
      <w:pPr>
        <w:pStyle w:val="Style2"/>
        <w:keepNext w:val="0"/>
        <w:keepLines w:val="0"/>
        <w:widowControl w:val="0"/>
        <w:numPr>
          <w:ilvl w:val="1"/>
          <w:numId w:val="1"/>
        </w:numPr>
        <w:shd w:val="clear" w:color="auto" w:fill="auto"/>
        <w:tabs>
          <w:tab w:pos="1239" w:val="left"/>
        </w:tabs>
        <w:bidi w:val="0"/>
        <w:spacing w:before="0" w:after="100" w:line="276" w:lineRule="auto"/>
        <w:ind w:left="440" w:right="0" w:firstLine="20"/>
        <w:jc w:val="both"/>
      </w:pPr>
      <w:r>
        <w:rPr>
          <w:color w:val="000000"/>
          <w:spacing w:val="0"/>
          <w:w w:val="100"/>
          <w:position w:val="0"/>
          <w:shd w:val="clear" w:color="auto" w:fill="auto"/>
          <w:lang w:val="pt-PT" w:eastAsia="pt-PT" w:bidi="pt-PT"/>
        </w:rPr>
        <w:t xml:space="preserve">O </w:t>
      </w:r>
      <w:r>
        <w:rPr>
          <w:i/>
          <w:iCs/>
          <w:color w:val="000000"/>
          <w:spacing w:val="0"/>
          <w:w w:val="100"/>
          <w:position w:val="0"/>
          <w:shd w:val="clear" w:color="auto" w:fill="auto"/>
          <w:lang w:val="pt-PT" w:eastAsia="pt-PT" w:bidi="pt-PT"/>
        </w:rPr>
        <w:t>prazo de vigência da contratação é de 30 (trinta) dias contados do(a) emissão da ordem de serviço, na forma do artigo 105 da Lei n° 14.133/2021.</w:t>
      </w:r>
    </w:p>
    <w:p>
      <w:pPr>
        <w:pStyle w:val="Style2"/>
        <w:keepNext w:val="0"/>
        <w:keepLines w:val="0"/>
        <w:widowControl w:val="0"/>
        <w:numPr>
          <w:ilvl w:val="2"/>
          <w:numId w:val="1"/>
        </w:numPr>
        <w:shd w:val="clear" w:color="auto" w:fill="auto"/>
        <w:tabs>
          <w:tab w:pos="1827" w:val="left"/>
        </w:tabs>
        <w:bidi w:val="0"/>
        <w:spacing w:before="0" w:after="400"/>
        <w:ind w:left="1160" w:right="0" w:firstLine="20"/>
        <w:jc w:val="both"/>
      </w:pPr>
      <w:r>
        <w:rPr>
          <w:color w:val="000000"/>
          <w:spacing w:val="0"/>
          <w:w w:val="100"/>
          <w:position w:val="0"/>
          <w:shd w:val="clear" w:color="auto" w:fill="auto"/>
          <w:lang w:val="pt-PT" w:eastAsia="pt-PT" w:bidi="pt-PT"/>
        </w:rPr>
        <w:t xml:space="preserve">O </w:t>
      </w:r>
      <w:r>
        <w:rPr>
          <w:i/>
          <w:iCs/>
          <w:color w:val="000000"/>
          <w:spacing w:val="0"/>
          <w:w w:val="100"/>
          <w:position w:val="0"/>
          <w:shd w:val="clear" w:color="auto" w:fill="auto"/>
          <w:lang w:val="pt-PT" w:eastAsia="pt-PT" w:bidi="pt-PT"/>
        </w:rPr>
        <w:t>prazo de vigência será automaticamente prorrogado, independentemente de termo aditivo, quando o objeto não for concluído no período firmado acima, ressalvadas as providências cabíveis no caso de culpa do contratado, previstas neste instrumento.</w:t>
      </w:r>
    </w:p>
    <w:p>
      <w:pPr>
        <w:pStyle w:val="Style16"/>
        <w:keepNext/>
        <w:keepLines/>
        <w:widowControl w:val="0"/>
        <w:numPr>
          <w:ilvl w:val="0"/>
          <w:numId w:val="1"/>
        </w:numPr>
        <w:shd w:val="clear" w:color="auto" w:fill="auto"/>
        <w:tabs>
          <w:tab w:pos="347" w:val="left"/>
        </w:tabs>
        <w:bidi w:val="0"/>
        <w:spacing w:before="0"/>
        <w:ind w:left="0" w:right="0" w:firstLine="0"/>
        <w:jc w:val="both"/>
      </w:pPr>
      <w:bookmarkStart w:id="3" w:name="bookmark3"/>
      <w:r>
        <w:rPr>
          <w:color w:val="000000"/>
          <w:spacing w:val="0"/>
          <w:w w:val="100"/>
          <w:position w:val="0"/>
          <w:shd w:val="clear" w:color="auto" w:fill="auto"/>
          <w:lang w:val="pt-PT" w:eastAsia="pt-PT" w:bidi="pt-PT"/>
        </w:rPr>
        <w:t>CLÁUSULA TERCEIRA - MODELOS DE EXECUÇÃO E GESTÃO CONTRATUAIS (art. 92, IV, VII e XVIII)</w:t>
      </w:r>
      <w:bookmarkEnd w:id="3"/>
    </w:p>
    <w:p>
      <w:pPr>
        <w:pStyle w:val="Style2"/>
        <w:keepNext w:val="0"/>
        <w:keepLines w:val="0"/>
        <w:widowControl w:val="0"/>
        <w:numPr>
          <w:ilvl w:val="1"/>
          <w:numId w:val="1"/>
        </w:numPr>
        <w:shd w:val="clear" w:color="auto" w:fill="auto"/>
        <w:tabs>
          <w:tab w:pos="940" w:val="left"/>
        </w:tabs>
        <w:bidi w:val="0"/>
        <w:spacing w:before="0" w:after="240" w:line="286" w:lineRule="auto"/>
        <w:ind w:left="440" w:right="0" w:firstLine="20"/>
        <w:jc w:val="both"/>
      </w:pPr>
      <w:r>
        <w:rPr>
          <w:color w:val="000000"/>
          <w:spacing w:val="0"/>
          <w:w w:val="100"/>
          <w:position w:val="0"/>
          <w:shd w:val="clear" w:color="auto" w:fill="auto"/>
          <w:lang w:val="pt-PT" w:eastAsia="pt-PT" w:bidi="pt-PT"/>
        </w:rPr>
        <w:t>O regime de execução contratual, o modelo de gestão, assim como os prazos e condições de conclusão, entrega, observação e recebimento definitivo constam no Termo de Referência, anexo a este Contrato.</w:t>
      </w:r>
    </w:p>
    <w:p>
      <w:pPr>
        <w:pStyle w:val="Style16"/>
        <w:keepNext/>
        <w:keepLines/>
        <w:widowControl w:val="0"/>
        <w:numPr>
          <w:ilvl w:val="0"/>
          <w:numId w:val="1"/>
        </w:numPr>
        <w:shd w:val="clear" w:color="auto" w:fill="auto"/>
        <w:tabs>
          <w:tab w:pos="347" w:val="left"/>
        </w:tabs>
        <w:bidi w:val="0"/>
        <w:spacing w:before="0"/>
        <w:ind w:left="0" w:right="0" w:firstLine="0"/>
        <w:jc w:val="both"/>
      </w:pPr>
      <w:bookmarkStart w:id="4" w:name="bookmark4"/>
      <w:r>
        <w:rPr>
          <w:color w:val="000000"/>
          <w:spacing w:val="0"/>
          <w:w w:val="100"/>
          <w:position w:val="0"/>
          <w:shd w:val="clear" w:color="auto" w:fill="auto"/>
          <w:lang w:val="pt-PT" w:eastAsia="pt-PT" w:bidi="pt-PT"/>
        </w:rPr>
        <w:t>CLÁUSULA QUARTA - SUBCONTRATAÇÃO</w:t>
      </w:r>
      <w:bookmarkEnd w:id="4"/>
    </w:p>
    <w:p>
      <w:pPr>
        <w:pStyle w:val="Style2"/>
        <w:keepNext w:val="0"/>
        <w:keepLines w:val="0"/>
        <w:widowControl w:val="0"/>
        <w:numPr>
          <w:ilvl w:val="1"/>
          <w:numId w:val="1"/>
        </w:numPr>
        <w:shd w:val="clear" w:color="auto" w:fill="auto"/>
        <w:tabs>
          <w:tab w:pos="960" w:val="left"/>
        </w:tabs>
        <w:bidi w:val="0"/>
        <w:spacing w:before="0" w:after="240"/>
        <w:ind w:left="440" w:right="0" w:firstLine="20"/>
        <w:jc w:val="both"/>
      </w:pPr>
      <w:r>
        <w:rPr>
          <w:i/>
          <w:iCs/>
          <w:color w:val="000000"/>
          <w:spacing w:val="0"/>
          <w:w w:val="100"/>
          <w:position w:val="0"/>
          <w:shd w:val="clear" w:color="auto" w:fill="auto"/>
          <w:lang w:val="pt-PT" w:eastAsia="pt-PT" w:bidi="pt-PT"/>
        </w:rPr>
        <w:t>Não será admitida a subcontratação do objeto contratual.</w:t>
      </w:r>
    </w:p>
    <w:p>
      <w:pPr>
        <w:pStyle w:val="Style2"/>
        <w:keepNext w:val="0"/>
        <w:keepLines w:val="0"/>
        <w:widowControl w:val="0"/>
        <w:numPr>
          <w:ilvl w:val="0"/>
          <w:numId w:val="1"/>
        </w:numPr>
        <w:shd w:val="clear" w:color="auto" w:fill="auto"/>
        <w:tabs>
          <w:tab w:pos="347" w:val="left"/>
        </w:tabs>
        <w:bidi w:val="0"/>
        <w:spacing w:before="0" w:after="100"/>
        <w:ind w:left="0" w:right="0" w:firstLine="0"/>
        <w:jc w:val="left"/>
      </w:pPr>
      <w:r>
        <w:rPr>
          <w:b/>
          <w:bCs/>
          <w:color w:val="000000"/>
          <w:spacing w:val="0"/>
          <w:w w:val="100"/>
          <w:position w:val="0"/>
          <w:shd w:val="clear" w:color="auto" w:fill="auto"/>
          <w:lang w:val="pt-PT" w:eastAsia="pt-PT" w:bidi="pt-PT"/>
        </w:rPr>
        <w:t>CLÁUSULA QUINTA - PAGAMENTO (art. 92, V e VI)</w:t>
      </w:r>
    </w:p>
    <w:p>
      <w:pPr>
        <w:pStyle w:val="Style2"/>
        <w:keepNext w:val="0"/>
        <w:keepLines w:val="0"/>
        <w:widowControl w:val="0"/>
        <w:numPr>
          <w:ilvl w:val="1"/>
          <w:numId w:val="1"/>
        </w:numPr>
        <w:shd w:val="clear" w:color="auto" w:fill="auto"/>
        <w:tabs>
          <w:tab w:pos="960" w:val="left"/>
        </w:tabs>
        <w:bidi w:val="0"/>
        <w:spacing w:before="0" w:after="100"/>
        <w:ind w:left="440" w:right="0" w:firstLine="20"/>
        <w:jc w:val="both"/>
      </w:pPr>
      <w:r>
        <w:rPr>
          <w:b/>
          <w:bCs/>
          <w:color w:val="000000"/>
          <w:spacing w:val="0"/>
          <w:w w:val="100"/>
          <w:position w:val="0"/>
          <w:shd w:val="clear" w:color="auto" w:fill="auto"/>
          <w:lang w:val="pt-PT" w:eastAsia="pt-PT" w:bidi="pt-PT"/>
        </w:rPr>
        <w:t>PREÇO</w:t>
      </w:r>
    </w:p>
    <w:p>
      <w:pPr>
        <w:pStyle w:val="Style2"/>
        <w:keepNext w:val="0"/>
        <w:keepLines w:val="0"/>
        <w:widowControl w:val="0"/>
        <w:numPr>
          <w:ilvl w:val="2"/>
          <w:numId w:val="1"/>
        </w:numPr>
        <w:shd w:val="clear" w:color="auto" w:fill="auto"/>
        <w:tabs>
          <w:tab w:pos="982" w:val="left"/>
        </w:tabs>
        <w:bidi w:val="0"/>
        <w:spacing w:before="0" w:after="100" w:line="290" w:lineRule="auto"/>
        <w:ind w:left="880" w:right="0" w:hanging="560"/>
        <w:jc w:val="left"/>
      </w:pPr>
      <w:r>
        <w:rPr>
          <w:color w:val="000000"/>
          <w:spacing w:val="0"/>
          <w:w w:val="100"/>
          <w:position w:val="0"/>
          <w:shd w:val="clear" w:color="auto" w:fill="auto"/>
          <w:lang w:val="pt-PT" w:eastAsia="pt-PT" w:bidi="pt-PT"/>
        </w:rPr>
        <w:t xml:space="preserve">O </w:t>
      </w:r>
      <w:r>
        <w:rPr>
          <w:i/>
          <w:iCs/>
          <w:color w:val="000000"/>
          <w:spacing w:val="0"/>
          <w:w w:val="100"/>
          <w:position w:val="0"/>
          <w:shd w:val="clear" w:color="auto" w:fill="auto"/>
          <w:lang w:val="pt-PT" w:eastAsia="pt-PT" w:bidi="pt-PT"/>
        </w:rPr>
        <w:t>valor total da contratação é de R$ 35.000,00 (trinta e cinco mil reais), a ser pago em parcela única, mediante a efetiva prestação dos serviços contratados.</w:t>
      </w:r>
    </w:p>
    <w:p>
      <w:pPr>
        <w:pStyle w:val="Style2"/>
        <w:keepNext w:val="0"/>
        <w:keepLines w:val="0"/>
        <w:widowControl w:val="0"/>
        <w:numPr>
          <w:ilvl w:val="2"/>
          <w:numId w:val="1"/>
        </w:numPr>
        <w:shd w:val="clear" w:color="auto" w:fill="auto"/>
        <w:tabs>
          <w:tab w:pos="982" w:val="left"/>
        </w:tabs>
        <w:bidi w:val="0"/>
        <w:spacing w:before="0" w:after="100"/>
        <w:ind w:left="320" w:right="0" w:firstLine="0"/>
        <w:jc w:val="both"/>
      </w:pPr>
      <w:r>
        <w:rPr>
          <w:color w:val="000000"/>
          <w:spacing w:val="0"/>
          <w:w w:val="100"/>
          <w:position w:val="0"/>
          <w:shd w:val="clear" w:color="auto" w:fill="auto"/>
          <w:lang w:val="pt-PT" w:eastAsia="pt-PT" w:bidi="pt-PT"/>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Style16"/>
        <w:keepNext/>
        <w:keepLines/>
        <w:widowControl w:val="0"/>
        <w:numPr>
          <w:ilvl w:val="1"/>
          <w:numId w:val="1"/>
        </w:numPr>
        <w:shd w:val="clear" w:color="auto" w:fill="auto"/>
        <w:tabs>
          <w:tab w:pos="960" w:val="left"/>
        </w:tabs>
        <w:bidi w:val="0"/>
        <w:spacing w:before="0"/>
        <w:ind w:left="440" w:right="0" w:firstLine="20"/>
        <w:jc w:val="both"/>
      </w:pPr>
      <w:bookmarkStart w:id="5" w:name="bookmark5"/>
      <w:r>
        <w:rPr>
          <w:color w:val="000000"/>
          <w:spacing w:val="0"/>
          <w:w w:val="100"/>
          <w:position w:val="0"/>
          <w:shd w:val="clear" w:color="auto" w:fill="auto"/>
          <w:lang w:val="pt-PT" w:eastAsia="pt-PT" w:bidi="pt-PT"/>
        </w:rPr>
        <w:t>FORMA DE PAGAMENTO</w:t>
      </w:r>
      <w:bookmarkEnd w:id="5"/>
    </w:p>
    <w:p>
      <w:pPr>
        <w:pStyle w:val="Style2"/>
        <w:keepNext w:val="0"/>
        <w:keepLines w:val="0"/>
        <w:widowControl w:val="0"/>
        <w:numPr>
          <w:ilvl w:val="2"/>
          <w:numId w:val="1"/>
        </w:numPr>
        <w:shd w:val="clear" w:color="auto" w:fill="auto"/>
        <w:tabs>
          <w:tab w:pos="982" w:val="left"/>
        </w:tabs>
        <w:bidi w:val="0"/>
        <w:spacing w:before="0" w:after="100"/>
        <w:ind w:left="320" w:right="0" w:firstLine="0"/>
        <w:jc w:val="both"/>
      </w:pPr>
      <w:r>
        <w:rPr>
          <w:color w:val="000000"/>
          <w:spacing w:val="0"/>
          <w:w w:val="100"/>
          <w:position w:val="0"/>
          <w:shd w:val="clear" w:color="auto" w:fill="auto"/>
          <w:lang w:val="pt-PT" w:eastAsia="pt-PT" w:bidi="pt-PT"/>
        </w:rPr>
        <w:t xml:space="preserve">O </w:t>
      </w:r>
      <w:r>
        <w:rPr>
          <w:i/>
          <w:iCs/>
          <w:color w:val="000000"/>
          <w:spacing w:val="0"/>
          <w:w w:val="100"/>
          <w:position w:val="0"/>
          <w:shd w:val="clear" w:color="auto" w:fill="auto"/>
          <w:lang w:val="pt-PT" w:eastAsia="pt-PT" w:bidi="pt-PT"/>
        </w:rPr>
        <w:t>pagamento será realizado através de ordem bancária, para crédito em banco, agência e conta corrente indicados pelo contratado.</w:t>
      </w:r>
    </w:p>
    <w:p>
      <w:pPr>
        <w:pStyle w:val="Style2"/>
        <w:keepNext w:val="0"/>
        <w:keepLines w:val="0"/>
        <w:widowControl w:val="0"/>
        <w:numPr>
          <w:ilvl w:val="2"/>
          <w:numId w:val="1"/>
        </w:numPr>
        <w:shd w:val="clear" w:color="auto" w:fill="auto"/>
        <w:tabs>
          <w:tab w:pos="982" w:val="left"/>
        </w:tabs>
        <w:bidi w:val="0"/>
        <w:spacing w:before="0" w:after="100" w:line="288" w:lineRule="auto"/>
        <w:ind w:left="320" w:right="0" w:firstLine="0"/>
        <w:jc w:val="both"/>
      </w:pPr>
      <w:r>
        <w:rPr>
          <w:i/>
          <w:iCs/>
          <w:color w:val="000000"/>
          <w:spacing w:val="0"/>
          <w:w w:val="100"/>
          <w:position w:val="0"/>
          <w:shd w:val="clear" w:color="auto" w:fill="auto"/>
          <w:lang w:val="pt-PT" w:eastAsia="pt-PT" w:bidi="pt-PT"/>
        </w:rPr>
        <w:t>Será considerada data do pagamento o dia em que constar como emitida a ordem bancária para pagamento.</w:t>
      </w:r>
    </w:p>
    <w:p>
      <w:pPr>
        <w:pStyle w:val="Style16"/>
        <w:keepNext/>
        <w:keepLines/>
        <w:widowControl w:val="0"/>
        <w:numPr>
          <w:ilvl w:val="1"/>
          <w:numId w:val="1"/>
        </w:numPr>
        <w:shd w:val="clear" w:color="auto" w:fill="auto"/>
        <w:tabs>
          <w:tab w:pos="960" w:val="left"/>
        </w:tabs>
        <w:bidi w:val="0"/>
        <w:spacing w:before="0"/>
        <w:ind w:left="440" w:right="0" w:firstLine="20"/>
        <w:jc w:val="both"/>
      </w:pPr>
      <w:bookmarkStart w:id="6" w:name="bookmark6"/>
      <w:r>
        <w:rPr>
          <w:color w:val="000000"/>
          <w:spacing w:val="0"/>
          <w:w w:val="100"/>
          <w:position w:val="0"/>
          <w:shd w:val="clear" w:color="auto" w:fill="auto"/>
          <w:lang w:val="pt-PT" w:eastAsia="pt-PT" w:bidi="pt-PT"/>
        </w:rPr>
        <w:t>PRAZO DE PAGAMENTO</w:t>
      </w:r>
      <w:bookmarkEnd w:id="6"/>
    </w:p>
    <w:p>
      <w:pPr>
        <w:pStyle w:val="Style2"/>
        <w:keepNext w:val="0"/>
        <w:keepLines w:val="0"/>
        <w:widowControl w:val="0"/>
        <w:numPr>
          <w:ilvl w:val="2"/>
          <w:numId w:val="1"/>
        </w:numPr>
        <w:shd w:val="clear" w:color="auto" w:fill="auto"/>
        <w:tabs>
          <w:tab w:pos="982" w:val="left"/>
        </w:tabs>
        <w:bidi w:val="0"/>
        <w:spacing w:before="0" w:after="0"/>
        <w:ind w:left="320" w:right="0" w:firstLine="0"/>
        <w:jc w:val="both"/>
      </w:pPr>
      <w:r>
        <w:rPr>
          <w:color w:val="000000"/>
          <w:spacing w:val="0"/>
          <w:w w:val="100"/>
          <w:position w:val="0"/>
          <w:shd w:val="clear" w:color="auto" w:fill="auto"/>
          <w:lang w:val="pt-PT" w:eastAsia="pt-PT" w:bidi="pt-PT"/>
        </w:rPr>
        <w:t>O pagamento será efetuado no prazo máximo de até 10 (dez) dias, contados do recebimento da Nota Fiscal/Fatura.</w:t>
      </w:r>
    </w:p>
    <w:p>
      <w:pPr>
        <w:pStyle w:val="Style2"/>
        <w:keepNext w:val="0"/>
        <w:keepLines w:val="0"/>
        <w:widowControl w:val="0"/>
        <w:numPr>
          <w:ilvl w:val="2"/>
          <w:numId w:val="1"/>
        </w:numPr>
        <w:shd w:val="clear" w:color="auto" w:fill="auto"/>
        <w:tabs>
          <w:tab w:pos="982" w:val="left"/>
        </w:tabs>
        <w:bidi w:val="0"/>
        <w:spacing w:before="0" w:after="340"/>
        <w:ind w:left="320" w:right="0" w:firstLine="0"/>
        <w:jc w:val="both"/>
      </w:pPr>
      <w:r>
        <w:rPr>
          <w:color w:val="000000"/>
          <w:spacing w:val="0"/>
          <w:w w:val="100"/>
          <w:position w:val="0"/>
          <w:shd w:val="clear" w:color="auto" w:fill="auto"/>
          <w:lang w:val="pt-BR" w:eastAsia="pt-BR" w:bidi="pt-BR"/>
        </w:rPr>
        <w:t xml:space="preserve">Considera-se </w:t>
      </w:r>
      <w:r>
        <w:rPr>
          <w:color w:val="000000"/>
          <w:spacing w:val="0"/>
          <w:w w:val="100"/>
          <w:position w:val="0"/>
          <w:shd w:val="clear" w:color="auto" w:fill="auto"/>
          <w:lang w:val="pt-PT" w:eastAsia="pt-PT" w:bidi="pt-PT"/>
        </w:rPr>
        <w:t>ocorrido o recebimento da nota fiscal ou fatura quando o órgão contratante atestar</w:t>
      </w:r>
    </w:p>
    <w:p>
      <w:pPr>
        <w:pStyle w:val="Style2"/>
        <w:keepNext w:val="0"/>
        <w:keepLines w:val="0"/>
        <w:widowControl w:val="0"/>
        <w:numPr>
          <w:ilvl w:val="0"/>
          <w:numId w:val="5"/>
        </w:numPr>
        <w:shd w:val="clear" w:color="auto" w:fill="auto"/>
        <w:tabs>
          <w:tab w:pos="982" w:val="left"/>
        </w:tabs>
        <w:bidi w:val="0"/>
        <w:spacing w:before="0" w:after="100"/>
        <w:ind w:left="320" w:right="0" w:firstLine="0"/>
        <w:jc w:val="both"/>
      </w:pPr>
      <w:r>
        <w:rPr>
          <w:color w:val="000000"/>
          <w:spacing w:val="0"/>
          <w:w w:val="100"/>
          <w:position w:val="0"/>
          <w:shd w:val="clear" w:color="auto" w:fill="auto"/>
          <w:lang w:val="pt-PT" w:eastAsia="pt-PT" w:bidi="pt-PT"/>
        </w:rPr>
        <w:t>Aemissão da Nota Fiscal/Fatura será precedida do recebimento definitivo do objeto da contratação, conforme disposto neste instrumento e/ou no Termo de Referência.</w:t>
      </w:r>
    </w:p>
    <w:p>
      <w:pPr>
        <w:pStyle w:val="Style2"/>
        <w:keepNext w:val="0"/>
        <w:keepLines w:val="0"/>
        <w:widowControl w:val="0"/>
        <w:numPr>
          <w:ilvl w:val="0"/>
          <w:numId w:val="5"/>
        </w:numPr>
        <w:shd w:val="clear" w:color="auto" w:fill="auto"/>
        <w:tabs>
          <w:tab w:pos="934" w:val="left"/>
        </w:tabs>
        <w:bidi w:val="0"/>
        <w:spacing w:before="0"/>
        <w:ind w:left="320" w:right="0" w:firstLine="0"/>
        <w:jc w:val="both"/>
      </w:pPr>
      <w:r>
        <w:rPr>
          <w:color w:val="000000"/>
          <w:spacing w:val="0"/>
          <w:w w:val="100"/>
          <w:position w:val="0"/>
          <w:shd w:val="clear" w:color="auto" w:fill="auto"/>
          <w:lang w:val="pt-PT" w:eastAsia="pt-PT" w:bidi="pt-PT"/>
        </w:rPr>
        <w:t>Quando houver glosa parcial do objeto, o contratante deverá comunicar a empresa para que emita a nota fiscal ou fatura com o valor exato dimensionado.</w:t>
      </w:r>
    </w:p>
    <w:p>
      <w:pPr>
        <w:pStyle w:val="Style2"/>
        <w:keepNext w:val="0"/>
        <w:keepLines w:val="0"/>
        <w:widowControl w:val="0"/>
        <w:numPr>
          <w:ilvl w:val="0"/>
          <w:numId w:val="5"/>
        </w:numPr>
        <w:shd w:val="clear" w:color="auto" w:fill="auto"/>
        <w:tabs>
          <w:tab w:pos="934" w:val="left"/>
        </w:tabs>
        <w:bidi w:val="0"/>
        <w:spacing w:before="0" w:after="0" w:line="360" w:lineRule="auto"/>
        <w:ind w:left="320" w:right="0" w:firstLine="0"/>
        <w:jc w:val="both"/>
      </w:pPr>
      <w:r>
        <w:rPr>
          <w:color w:val="000000"/>
          <w:spacing w:val="0"/>
          <w:w w:val="100"/>
          <w:position w:val="0"/>
          <w:shd w:val="clear" w:color="auto" w:fill="auto"/>
          <w:lang w:val="pt-PT" w:eastAsia="pt-PT" w:bidi="pt-PT"/>
        </w:rPr>
        <w:t>O setor competente para proceder o pagamento deve verificar se a Nota Fiscal ou Fatura apresentada expressa os elementos necessários e essenciais do documento, tais como: a) o prazo de validade;</w:t>
      </w:r>
    </w:p>
    <w:p>
      <w:pPr>
        <w:pStyle w:val="Style2"/>
        <w:keepNext w:val="0"/>
        <w:keepLines w:val="0"/>
        <w:widowControl w:val="0"/>
        <w:numPr>
          <w:ilvl w:val="0"/>
          <w:numId w:val="7"/>
        </w:numPr>
        <w:shd w:val="clear" w:color="auto" w:fill="auto"/>
        <w:tabs>
          <w:tab w:pos="1519" w:val="left"/>
        </w:tabs>
        <w:bidi w:val="0"/>
        <w:spacing w:before="0" w:after="0" w:line="360" w:lineRule="auto"/>
        <w:ind w:left="1140" w:right="0" w:firstLine="20"/>
        <w:jc w:val="left"/>
      </w:pPr>
      <w:r>
        <w:rPr>
          <w:color w:val="000000"/>
          <w:spacing w:val="0"/>
          <w:w w:val="100"/>
          <w:position w:val="0"/>
          <w:shd w:val="clear" w:color="auto" w:fill="auto"/>
          <w:lang w:val="pt-PT" w:eastAsia="pt-PT" w:bidi="pt-PT"/>
        </w:rPr>
        <w:t>a data da emissão;</w:t>
      </w:r>
    </w:p>
    <w:p>
      <w:pPr>
        <w:pStyle w:val="Style2"/>
        <w:keepNext w:val="0"/>
        <w:keepLines w:val="0"/>
        <w:widowControl w:val="0"/>
        <w:numPr>
          <w:ilvl w:val="0"/>
          <w:numId w:val="7"/>
        </w:numPr>
        <w:shd w:val="clear" w:color="auto" w:fill="auto"/>
        <w:tabs>
          <w:tab w:pos="1519" w:val="left"/>
        </w:tabs>
        <w:bidi w:val="0"/>
        <w:spacing w:before="0" w:after="0"/>
        <w:ind w:left="1140" w:right="0" w:firstLine="20"/>
        <w:jc w:val="left"/>
      </w:pPr>
      <w:r>
        <w:rPr>
          <w:color w:val="000000"/>
          <w:spacing w:val="0"/>
          <w:w w:val="100"/>
          <w:position w:val="0"/>
          <w:shd w:val="clear" w:color="auto" w:fill="auto"/>
          <w:lang w:val="pt-PT" w:eastAsia="pt-PT" w:bidi="pt-PT"/>
        </w:rPr>
        <w:t>os dados do contrato e do órgão contratante;</w:t>
      </w:r>
    </w:p>
    <w:p>
      <w:pPr>
        <w:pStyle w:val="Style2"/>
        <w:keepNext w:val="0"/>
        <w:keepLines w:val="0"/>
        <w:widowControl w:val="0"/>
        <w:numPr>
          <w:ilvl w:val="0"/>
          <w:numId w:val="7"/>
        </w:numPr>
        <w:shd w:val="clear" w:color="auto" w:fill="auto"/>
        <w:tabs>
          <w:tab w:pos="1519" w:val="left"/>
        </w:tabs>
        <w:bidi w:val="0"/>
        <w:spacing w:before="0"/>
        <w:ind w:left="1140" w:right="0" w:firstLine="20"/>
        <w:jc w:val="left"/>
      </w:pPr>
      <w:r>
        <w:rPr>
          <w:color w:val="000000"/>
          <w:spacing w:val="0"/>
          <w:w w:val="100"/>
          <w:position w:val="0"/>
          <w:shd w:val="clear" w:color="auto" w:fill="auto"/>
          <w:lang w:val="pt-PT" w:eastAsia="pt-PT" w:bidi="pt-PT"/>
        </w:rPr>
        <w:t xml:space="preserve">o período </w:t>
      </w:r>
      <w:r>
        <w:rPr>
          <w:color w:val="000000"/>
          <w:spacing w:val="0"/>
          <w:w w:val="100"/>
          <w:position w:val="0"/>
          <w:shd w:val="clear" w:color="auto" w:fill="auto"/>
          <w:lang w:val="pt-BR" w:eastAsia="pt-BR" w:bidi="pt-BR"/>
        </w:rPr>
        <w:t xml:space="preserve">respectivo </w:t>
      </w:r>
      <w:r>
        <w:rPr>
          <w:color w:val="000000"/>
          <w:spacing w:val="0"/>
          <w:w w:val="100"/>
          <w:position w:val="0"/>
          <w:shd w:val="clear" w:color="auto" w:fill="auto"/>
          <w:lang w:val="pt-PT" w:eastAsia="pt-PT" w:bidi="pt-PT"/>
        </w:rPr>
        <w:t>de execução do contrato;</w:t>
      </w:r>
    </w:p>
    <w:p>
      <w:pPr>
        <w:pStyle w:val="Style2"/>
        <w:keepNext w:val="0"/>
        <w:keepLines w:val="0"/>
        <w:widowControl w:val="0"/>
        <w:numPr>
          <w:ilvl w:val="0"/>
          <w:numId w:val="7"/>
        </w:numPr>
        <w:shd w:val="clear" w:color="auto" w:fill="auto"/>
        <w:tabs>
          <w:tab w:pos="1519" w:val="left"/>
        </w:tabs>
        <w:bidi w:val="0"/>
        <w:spacing w:before="0" w:after="0"/>
        <w:ind w:left="1140" w:right="0" w:firstLine="20"/>
        <w:jc w:val="left"/>
      </w:pPr>
      <w:r>
        <w:rPr>
          <w:color w:val="000000"/>
          <w:spacing w:val="0"/>
          <w:w w:val="100"/>
          <w:position w:val="0"/>
          <w:shd w:val="clear" w:color="auto" w:fill="auto"/>
          <w:lang w:val="pt-PT" w:eastAsia="pt-PT" w:bidi="pt-PT"/>
        </w:rPr>
        <w:t>o valor a pagar; e</w:t>
      </w:r>
    </w:p>
    <w:p>
      <w:pPr>
        <w:pStyle w:val="Style2"/>
        <w:keepNext w:val="0"/>
        <w:keepLines w:val="0"/>
        <w:widowControl w:val="0"/>
        <w:numPr>
          <w:ilvl w:val="0"/>
          <w:numId w:val="7"/>
        </w:numPr>
        <w:shd w:val="clear" w:color="auto" w:fill="auto"/>
        <w:tabs>
          <w:tab w:pos="1519" w:val="left"/>
        </w:tabs>
        <w:bidi w:val="0"/>
        <w:spacing w:before="0"/>
        <w:ind w:left="1140" w:right="0" w:firstLine="20"/>
        <w:jc w:val="left"/>
      </w:pPr>
      <w:r>
        <w:rPr>
          <w:color w:val="000000"/>
          <w:spacing w:val="0"/>
          <w:w w:val="100"/>
          <w:position w:val="0"/>
          <w:shd w:val="clear" w:color="auto" w:fill="auto"/>
          <w:lang w:val="pt-PT" w:eastAsia="pt-PT" w:bidi="pt-PT"/>
        </w:rPr>
        <w:t>eventual destaque do valor de retenções tributárias cabíveis.</w:t>
      </w:r>
    </w:p>
    <w:p>
      <w:pPr>
        <w:pStyle w:val="Style2"/>
        <w:keepNext w:val="0"/>
        <w:keepLines w:val="0"/>
        <w:widowControl w:val="0"/>
        <w:numPr>
          <w:ilvl w:val="0"/>
          <w:numId w:val="5"/>
        </w:numPr>
        <w:shd w:val="clear" w:color="auto" w:fill="auto"/>
        <w:tabs>
          <w:tab w:pos="934" w:val="left"/>
        </w:tabs>
        <w:bidi w:val="0"/>
        <w:spacing w:before="0"/>
        <w:ind w:left="320" w:right="0" w:firstLine="0"/>
        <w:jc w:val="both"/>
      </w:pPr>
      <w:r>
        <w:rPr>
          <w:color w:val="000000"/>
          <w:spacing w:val="0"/>
          <w:w w:val="100"/>
          <w:position w:val="0"/>
          <w:shd w:val="clear" w:color="auto" w:fill="auto"/>
          <w:lang w:val="pt-PT" w:eastAsia="pt-PT" w:bidi="pt-PT"/>
        </w:rPr>
        <w:t xml:space="preserve">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w:t>
      </w:r>
      <w:r>
        <w:rPr>
          <w:color w:val="000000"/>
          <w:spacing w:val="0"/>
          <w:w w:val="100"/>
          <w:position w:val="0"/>
          <w:shd w:val="clear" w:color="auto" w:fill="auto"/>
          <w:lang w:val="pt-BR" w:eastAsia="pt-BR" w:bidi="pt-BR"/>
        </w:rPr>
        <w:t xml:space="preserve">ônus </w:t>
      </w:r>
      <w:r>
        <w:rPr>
          <w:color w:val="000000"/>
          <w:spacing w:val="0"/>
          <w:w w:val="100"/>
          <w:position w:val="0"/>
          <w:shd w:val="clear" w:color="auto" w:fill="auto"/>
          <w:lang w:val="pt-PT" w:eastAsia="pt-PT" w:bidi="pt-PT"/>
        </w:rPr>
        <w:t>para o contratante;</w:t>
      </w:r>
    </w:p>
    <w:p>
      <w:pPr>
        <w:pStyle w:val="Style2"/>
        <w:keepNext w:val="0"/>
        <w:keepLines w:val="0"/>
        <w:widowControl w:val="0"/>
        <w:numPr>
          <w:ilvl w:val="0"/>
          <w:numId w:val="5"/>
        </w:numPr>
        <w:shd w:val="clear" w:color="auto" w:fill="auto"/>
        <w:tabs>
          <w:tab w:pos="934" w:val="left"/>
        </w:tabs>
        <w:bidi w:val="0"/>
        <w:spacing w:before="0"/>
        <w:ind w:left="320" w:right="0" w:firstLine="0"/>
        <w:jc w:val="both"/>
      </w:pPr>
      <w:r>
        <w:rPr>
          <w:color w:val="000000"/>
          <w:spacing w:val="0"/>
          <w:w w:val="100"/>
          <w:position w:val="0"/>
          <w:shd w:val="clear" w:color="auto" w:fill="auto"/>
          <w:lang w:val="pt-PT" w:eastAsia="pt-PT" w:bidi="pt-PT"/>
        </w:rPr>
        <w:t xml:space="preserve">A Nota Fiscal ou Fatura deverá ser obrigatoriamente acompanhada da comprovação da regularidade fiscal, constatada por meio de consulta </w:t>
      </w:r>
      <w:r>
        <w:rPr>
          <w:i/>
          <w:iCs/>
          <w:color w:val="000000"/>
          <w:spacing w:val="0"/>
          <w:w w:val="100"/>
          <w:position w:val="0"/>
          <w:shd w:val="clear" w:color="auto" w:fill="auto"/>
          <w:lang w:val="pt-BR" w:eastAsia="pt-BR" w:bidi="pt-BR"/>
        </w:rPr>
        <w:t>on-line</w:t>
      </w:r>
      <w:r>
        <w:rPr>
          <w:color w:val="000000"/>
          <w:spacing w:val="0"/>
          <w:w w:val="100"/>
          <w:position w:val="0"/>
          <w:shd w:val="clear" w:color="auto" w:fill="auto"/>
          <w:lang w:val="pt-BR" w:eastAsia="pt-BR" w:bidi="pt-BR"/>
        </w:rPr>
        <w:t xml:space="preserve"> </w:t>
      </w:r>
      <w:r>
        <w:rPr>
          <w:color w:val="000000"/>
          <w:spacing w:val="0"/>
          <w:w w:val="100"/>
          <w:position w:val="0"/>
          <w:shd w:val="clear" w:color="auto" w:fill="auto"/>
          <w:lang w:val="pt-PT" w:eastAsia="pt-PT" w:bidi="pt-PT"/>
        </w:rPr>
        <w:t xml:space="preserve">ao SICAF ou, na impossibilidade de acesso ao referido Sistema, mediante consulta aos sítios </w:t>
      </w:r>
      <w:r>
        <w:rPr>
          <w:color w:val="000000"/>
          <w:spacing w:val="0"/>
          <w:w w:val="100"/>
          <w:position w:val="0"/>
          <w:shd w:val="clear" w:color="auto" w:fill="auto"/>
          <w:lang w:val="pt-BR" w:eastAsia="pt-BR" w:bidi="pt-BR"/>
        </w:rPr>
        <w:t xml:space="preserve">eletrônicos </w:t>
      </w:r>
      <w:r>
        <w:rPr>
          <w:color w:val="000000"/>
          <w:spacing w:val="0"/>
          <w:w w:val="100"/>
          <w:position w:val="0"/>
          <w:shd w:val="clear" w:color="auto" w:fill="auto"/>
          <w:lang w:val="pt-PT" w:eastAsia="pt-PT" w:bidi="pt-PT"/>
        </w:rPr>
        <w:t>oficiais ou à documentação mencionada no art. 68 da Lei n° 14.133/2021.</w:t>
      </w:r>
    </w:p>
    <w:p>
      <w:pPr>
        <w:pStyle w:val="Style2"/>
        <w:keepNext w:val="0"/>
        <w:keepLines w:val="0"/>
        <w:widowControl w:val="0"/>
        <w:numPr>
          <w:ilvl w:val="0"/>
          <w:numId w:val="5"/>
        </w:numPr>
        <w:shd w:val="clear" w:color="auto" w:fill="auto"/>
        <w:tabs>
          <w:tab w:pos="934" w:val="left"/>
        </w:tabs>
        <w:bidi w:val="0"/>
        <w:spacing w:before="0"/>
        <w:ind w:left="320" w:right="0" w:firstLine="0"/>
        <w:jc w:val="both"/>
      </w:pPr>
      <w:r>
        <w:rPr>
          <w:color w:val="000000"/>
          <w:spacing w:val="0"/>
          <w:w w:val="100"/>
          <w:position w:val="0"/>
          <w:shd w:val="clear" w:color="auto" w:fill="auto"/>
          <w:lang w:val="pt-BR" w:eastAsia="pt-BR" w:bidi="pt-BR"/>
        </w:rPr>
        <w:t xml:space="preserve">Previamente </w:t>
      </w:r>
      <w:r>
        <w:rPr>
          <w:color w:val="000000"/>
          <w:spacing w:val="0"/>
          <w:w w:val="100"/>
          <w:position w:val="0"/>
          <w:shd w:val="clear" w:color="auto" w:fill="auto"/>
          <w:lang w:val="pt-PT" w:eastAsia="pt-PT" w:bidi="pt-PT"/>
        </w:rPr>
        <w:t>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pPr>
        <w:pStyle w:val="Style2"/>
        <w:keepNext w:val="0"/>
        <w:keepLines w:val="0"/>
        <w:widowControl w:val="0"/>
        <w:numPr>
          <w:ilvl w:val="0"/>
          <w:numId w:val="5"/>
        </w:numPr>
        <w:shd w:val="clear" w:color="auto" w:fill="auto"/>
        <w:tabs>
          <w:tab w:pos="934" w:val="left"/>
        </w:tabs>
        <w:bidi w:val="0"/>
        <w:spacing w:before="0"/>
        <w:ind w:left="320" w:right="0" w:firstLine="0"/>
        <w:jc w:val="both"/>
      </w:pPr>
      <w:r>
        <w:rPr>
          <w:color w:val="000000"/>
          <w:spacing w:val="0"/>
          <w:w w:val="100"/>
          <w:position w:val="0"/>
          <w:shd w:val="clear" w:color="auto" w:fill="auto"/>
          <w:lang w:val="pt-PT" w:eastAsia="pt-PT" w:bidi="pt-PT"/>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pPr>
        <w:pStyle w:val="Style2"/>
        <w:keepNext w:val="0"/>
        <w:keepLines w:val="0"/>
        <w:widowControl w:val="0"/>
        <w:numPr>
          <w:ilvl w:val="0"/>
          <w:numId w:val="5"/>
        </w:numPr>
        <w:shd w:val="clear" w:color="auto" w:fill="auto"/>
        <w:tabs>
          <w:tab w:pos="934" w:val="left"/>
        </w:tabs>
        <w:bidi w:val="0"/>
        <w:spacing w:before="0"/>
        <w:ind w:left="320" w:right="0" w:firstLine="0"/>
        <w:jc w:val="both"/>
      </w:pPr>
      <w:r>
        <w:rPr>
          <w:color w:val="000000"/>
          <w:spacing w:val="0"/>
          <w:w w:val="100"/>
          <w:position w:val="0"/>
          <w:shd w:val="clear" w:color="auto" w:fill="auto"/>
          <w:lang w:val="pt-PT" w:eastAsia="pt-PT" w:bidi="pt-PT"/>
        </w:rPr>
        <w:t xml:space="preserve">Não havendo regularização ou sendo a defesa considerada improcedente, o contratante deverá comunicar aos órgãos responsáveis pela fiscalização da regularidade fiscal quanto à </w:t>
      </w:r>
      <w:r>
        <w:rPr>
          <w:color w:val="000000"/>
          <w:spacing w:val="0"/>
          <w:w w:val="100"/>
          <w:position w:val="0"/>
          <w:shd w:val="clear" w:color="auto" w:fill="auto"/>
          <w:lang w:val="pt-BR" w:eastAsia="pt-BR" w:bidi="pt-BR"/>
        </w:rPr>
        <w:t xml:space="preserve">inadimplência </w:t>
      </w:r>
      <w:r>
        <w:rPr>
          <w:color w:val="000000"/>
          <w:spacing w:val="0"/>
          <w:w w:val="100"/>
          <w:position w:val="0"/>
          <w:shd w:val="clear" w:color="auto" w:fill="auto"/>
          <w:lang w:val="pt-PT" w:eastAsia="pt-PT" w:bidi="pt-PT"/>
        </w:rPr>
        <w:t>do contratado, bem como quanto à existência de pagamento a ser efetuado, para que sejam acionados os meios pertinentes e necessários para garantir o recebimento de seus créditos.</w:t>
      </w:r>
    </w:p>
    <w:p>
      <w:pPr>
        <w:pStyle w:val="Style2"/>
        <w:keepNext w:val="0"/>
        <w:keepLines w:val="0"/>
        <w:widowControl w:val="0"/>
        <w:numPr>
          <w:ilvl w:val="0"/>
          <w:numId w:val="5"/>
        </w:numPr>
        <w:shd w:val="clear" w:color="auto" w:fill="auto"/>
        <w:tabs>
          <w:tab w:pos="934" w:val="left"/>
        </w:tabs>
        <w:bidi w:val="0"/>
        <w:spacing w:before="0"/>
        <w:ind w:left="320" w:right="0" w:firstLine="0"/>
        <w:jc w:val="both"/>
      </w:pPr>
      <w:r>
        <w:rPr>
          <w:color w:val="000000"/>
          <w:spacing w:val="0"/>
          <w:w w:val="100"/>
          <w:position w:val="0"/>
          <w:shd w:val="clear" w:color="auto" w:fill="auto"/>
          <w:lang w:val="pt-PT" w:eastAsia="pt-PT" w:bidi="pt-PT"/>
        </w:rPr>
        <w:t>Persistindo a irregularidade, o contratante deverá adotar as medidas necessárias à rescisão contratual nos autos do processo administrativo correspondente, assegurada ao contratado a ampla defesa.</w:t>
      </w:r>
    </w:p>
    <w:p>
      <w:pPr>
        <w:pStyle w:val="Style2"/>
        <w:keepNext w:val="0"/>
        <w:keepLines w:val="0"/>
        <w:widowControl w:val="0"/>
        <w:numPr>
          <w:ilvl w:val="0"/>
          <w:numId w:val="5"/>
        </w:numPr>
        <w:shd w:val="clear" w:color="auto" w:fill="auto"/>
        <w:tabs>
          <w:tab w:pos="1044" w:val="left"/>
        </w:tabs>
        <w:bidi w:val="0"/>
        <w:spacing w:before="0" w:line="276" w:lineRule="auto"/>
        <w:ind w:left="320" w:right="0" w:firstLine="0"/>
        <w:jc w:val="both"/>
      </w:pPr>
      <w:r>
        <w:rPr>
          <w:color w:val="000000"/>
          <w:spacing w:val="0"/>
          <w:w w:val="100"/>
          <w:position w:val="0"/>
          <w:shd w:val="clear" w:color="auto" w:fill="auto"/>
          <w:lang w:val="pt-PT" w:eastAsia="pt-PT" w:bidi="pt-PT"/>
        </w:rPr>
        <w:t>Havendo a efetiva execução do objeto, os pagamentos serão realizados normalmente, até que se decida pela rescisão do contrato, caso o contratado não regularize sua situação junto ao SICAF.</w:t>
      </w:r>
    </w:p>
    <w:p>
      <w:pPr>
        <w:pStyle w:val="Style2"/>
        <w:keepNext w:val="0"/>
        <w:keepLines w:val="0"/>
        <w:widowControl w:val="0"/>
        <w:numPr>
          <w:ilvl w:val="0"/>
          <w:numId w:val="5"/>
        </w:numPr>
        <w:shd w:val="clear" w:color="auto" w:fill="auto"/>
        <w:tabs>
          <w:tab w:pos="1044" w:val="left"/>
        </w:tabs>
        <w:bidi w:val="0"/>
        <w:spacing w:before="0"/>
        <w:ind w:left="320" w:right="0" w:firstLine="0"/>
        <w:jc w:val="both"/>
      </w:pPr>
      <w:r>
        <w:rPr>
          <w:color w:val="000000"/>
          <w:spacing w:val="0"/>
          <w:w w:val="100"/>
          <w:position w:val="0"/>
          <w:shd w:val="clear" w:color="auto" w:fill="auto"/>
          <w:lang w:val="pt-PT" w:eastAsia="pt-PT" w:bidi="pt-PT"/>
        </w:rPr>
        <w:t>Quando do pagamento, será efetuada a retenção tributária prevista na legislação aplicável.</w:t>
      </w:r>
    </w:p>
    <w:p>
      <w:pPr>
        <w:pStyle w:val="Style2"/>
        <w:keepNext w:val="0"/>
        <w:keepLines w:val="0"/>
        <w:widowControl w:val="0"/>
        <w:numPr>
          <w:ilvl w:val="0"/>
          <w:numId w:val="9"/>
        </w:numPr>
        <w:shd w:val="clear" w:color="auto" w:fill="auto"/>
        <w:tabs>
          <w:tab w:pos="2612" w:val="left"/>
        </w:tabs>
        <w:bidi w:val="0"/>
        <w:spacing w:before="0" w:after="100" w:line="290" w:lineRule="auto"/>
        <w:ind w:left="1740" w:right="0" w:firstLine="0"/>
        <w:jc w:val="both"/>
      </w:pPr>
      <w:r>
        <w:rPr>
          <w:color w:val="000000"/>
          <w:spacing w:val="0"/>
          <w:w w:val="100"/>
          <w:position w:val="0"/>
          <w:shd w:val="clear" w:color="auto" w:fill="auto"/>
          <w:lang w:val="pt-PT" w:eastAsia="pt-PT" w:bidi="pt-PT"/>
        </w:rPr>
        <w:t>Independentemente do percentual de tributo inserido na planilha, no pagamento serão retidos na fonte os percentuais estabelecidos na legislação vigente.</w:t>
      </w:r>
    </w:p>
    <w:p>
      <w:pPr>
        <w:pStyle w:val="Style2"/>
        <w:keepNext w:val="0"/>
        <w:keepLines w:val="0"/>
        <w:widowControl w:val="0"/>
        <w:numPr>
          <w:ilvl w:val="0"/>
          <w:numId w:val="5"/>
        </w:numPr>
        <w:shd w:val="clear" w:color="auto" w:fill="auto"/>
        <w:tabs>
          <w:tab w:pos="1044" w:val="left"/>
        </w:tabs>
        <w:bidi w:val="0"/>
        <w:spacing w:before="0" w:after="240"/>
        <w:ind w:left="320" w:right="0" w:firstLine="0"/>
        <w:jc w:val="both"/>
      </w:pPr>
      <w:r>
        <w:rPr>
          <w:color w:val="000000"/>
          <w:spacing w:val="0"/>
          <w:w w:val="100"/>
          <w:position w:val="0"/>
          <w:shd w:val="clear" w:color="auto" w:fill="auto"/>
          <w:lang w:val="pt-PT" w:eastAsia="pt-PT" w:bidi="pt-PT"/>
        </w:rPr>
        <w:t xml:space="preserve">O contratado </w:t>
      </w:r>
      <w:r>
        <w:rPr>
          <w:color w:val="000000"/>
          <w:spacing w:val="0"/>
          <w:w w:val="100"/>
          <w:position w:val="0"/>
          <w:shd w:val="clear" w:color="auto" w:fill="auto"/>
          <w:lang w:val="pt-BR" w:eastAsia="pt-BR" w:bidi="pt-BR"/>
        </w:rPr>
        <w:t xml:space="preserve">regularmente </w:t>
      </w:r>
      <w:r>
        <w:rPr>
          <w:color w:val="000000"/>
          <w:spacing w:val="0"/>
          <w:w w:val="100"/>
          <w:position w:val="0"/>
          <w:shd w:val="clear" w:color="auto" w:fill="auto"/>
          <w:lang w:val="pt-PT" w:eastAsia="pt-PT" w:bidi="pt-PT"/>
        </w:rPr>
        <w:t xml:space="preserve">optante pelo Simples Nacional, nos termos da Lei Complementar n° 123, de 2006, não sofrerá a retenção tributária quanto aos impostos e contribuições abrangidos por aquele regime. No entanto, o pagamento ficará condicionado à apresentação de comprovação, por </w:t>
      </w:r>
      <w:r>
        <w:rPr>
          <w:color w:val="000000"/>
          <w:spacing w:val="0"/>
          <w:w w:val="100"/>
          <w:position w:val="0"/>
          <w:shd w:val="clear" w:color="auto" w:fill="auto"/>
          <w:lang w:val="pt-PT" w:eastAsia="pt-PT" w:bidi="pt-PT"/>
        </w:rPr>
        <w:t>meio de documento oficial, de que faz jus ao tratamento tributário favorecido previsto na referida Lei Complementar.</w:t>
      </w:r>
    </w:p>
    <w:p>
      <w:pPr>
        <w:pStyle w:val="Style16"/>
        <w:keepNext/>
        <w:keepLines/>
        <w:widowControl w:val="0"/>
        <w:numPr>
          <w:ilvl w:val="0"/>
          <w:numId w:val="1"/>
        </w:numPr>
        <w:shd w:val="clear" w:color="auto" w:fill="auto"/>
        <w:tabs>
          <w:tab w:pos="315" w:val="left"/>
        </w:tabs>
        <w:bidi w:val="0"/>
        <w:spacing w:before="0"/>
        <w:ind w:left="0" w:right="0" w:firstLine="0"/>
        <w:jc w:val="left"/>
      </w:pPr>
      <w:bookmarkStart w:id="7" w:name="bookmark7"/>
      <w:r>
        <w:rPr>
          <w:color w:val="000000"/>
          <w:spacing w:val="0"/>
          <w:w w:val="100"/>
          <w:position w:val="0"/>
          <w:shd w:val="clear" w:color="auto" w:fill="auto"/>
          <w:lang w:val="pt-PT" w:eastAsia="pt-PT" w:bidi="pt-PT"/>
        </w:rPr>
        <w:t>CLÁUSULA SEXTA - REAJUSTE (art. 92, V)</w:t>
      </w:r>
      <w:bookmarkEnd w:id="7"/>
    </w:p>
    <w:p>
      <w:pPr>
        <w:pStyle w:val="Style2"/>
        <w:keepNext w:val="0"/>
        <w:keepLines w:val="0"/>
        <w:widowControl w:val="0"/>
        <w:numPr>
          <w:ilvl w:val="1"/>
          <w:numId w:val="1"/>
        </w:numPr>
        <w:shd w:val="clear" w:color="auto" w:fill="auto"/>
        <w:tabs>
          <w:tab w:pos="923" w:val="left"/>
        </w:tabs>
        <w:bidi w:val="0"/>
        <w:spacing w:before="0" w:after="220"/>
        <w:ind w:left="460" w:right="0" w:firstLine="0"/>
        <w:jc w:val="both"/>
      </w:pPr>
      <w:r>
        <w:rPr>
          <w:color w:val="000000"/>
          <w:spacing w:val="0"/>
          <w:w w:val="100"/>
          <w:position w:val="0"/>
          <w:shd w:val="clear" w:color="auto" w:fill="auto"/>
          <w:lang w:val="pt-PT" w:eastAsia="pt-PT" w:bidi="pt-PT"/>
        </w:rPr>
        <w:t xml:space="preserve">Os preços inicialmente contratados são fixos e irreajustáveis no prazo de um ano contado da data do orçamento estimado, em </w:t>
      </w:r>
      <w:r>
        <w:rPr>
          <w:i/>
          <w:iCs/>
          <w:color w:val="000000"/>
          <w:spacing w:val="0"/>
          <w:w w:val="100"/>
          <w:position w:val="0"/>
          <w:shd w:val="clear" w:color="auto" w:fill="auto"/>
          <w:lang w:val="pt-PT" w:eastAsia="pt-PT" w:bidi="pt-PT"/>
        </w:rPr>
        <w:t>27/02/2026.</w:t>
      </w:r>
    </w:p>
    <w:p>
      <w:pPr>
        <w:pStyle w:val="Style2"/>
        <w:keepNext w:val="0"/>
        <w:keepLines w:val="0"/>
        <w:widowControl w:val="0"/>
        <w:numPr>
          <w:ilvl w:val="1"/>
          <w:numId w:val="1"/>
        </w:numPr>
        <w:shd w:val="clear" w:color="auto" w:fill="auto"/>
        <w:tabs>
          <w:tab w:pos="923" w:val="left"/>
        </w:tabs>
        <w:bidi w:val="0"/>
        <w:spacing w:before="0" w:after="220" w:line="286" w:lineRule="auto"/>
        <w:ind w:left="460" w:right="0" w:firstLine="0"/>
        <w:jc w:val="both"/>
      </w:pPr>
      <w:r>
        <w:rPr>
          <w:color w:val="000000"/>
          <w:spacing w:val="0"/>
          <w:w w:val="100"/>
          <w:position w:val="0"/>
          <w:shd w:val="clear" w:color="auto" w:fill="auto"/>
          <w:lang w:val="pt-PT" w:eastAsia="pt-PT" w:bidi="pt-PT"/>
        </w:rPr>
        <w:t>Em contratos com vigência inferior a 12 (doze) meses, não serão aplicados reajustes automáticos durante a vigência contratual. Caso haja prorrogação que ultrapasse 12 meses, os reajustes subsequentes obedecerão a interregno mínimo de 12 (doze) meses contado a partir dos efeitos financeiros do último reajuste.</w:t>
      </w:r>
    </w:p>
    <w:p>
      <w:pPr>
        <w:pStyle w:val="Style2"/>
        <w:keepNext w:val="0"/>
        <w:keepLines w:val="0"/>
        <w:widowControl w:val="0"/>
        <w:numPr>
          <w:ilvl w:val="1"/>
          <w:numId w:val="1"/>
        </w:numPr>
        <w:shd w:val="clear" w:color="auto" w:fill="auto"/>
        <w:tabs>
          <w:tab w:pos="923" w:val="left"/>
        </w:tabs>
        <w:bidi w:val="0"/>
        <w:spacing w:before="0" w:after="240" w:line="276" w:lineRule="auto"/>
        <w:ind w:left="460" w:right="0" w:firstLine="0"/>
        <w:jc w:val="both"/>
      </w:pPr>
      <w:r>
        <w:rPr>
          <w:color w:val="000000"/>
          <w:spacing w:val="0"/>
          <w:w w:val="100"/>
          <w:position w:val="0"/>
          <w:shd w:val="clear" w:color="auto" w:fill="auto"/>
          <w:lang w:val="pt-PT" w:eastAsia="pt-PT" w:bidi="pt-PT"/>
        </w:rPr>
        <w:t>No caso de atraso ou não divulgação do(s) índice (s) de reajustamento, o Contratante pagará ao Contratado a importância calculada pela última variação conhecida, liquidando a diferença correspondente tão logo seja(m) divulgado(s) o(s) índice(s) definitivo(s).</w:t>
      </w:r>
    </w:p>
    <w:p>
      <w:pPr>
        <w:pStyle w:val="Style2"/>
        <w:keepNext w:val="0"/>
        <w:keepLines w:val="0"/>
        <w:widowControl w:val="0"/>
        <w:numPr>
          <w:ilvl w:val="1"/>
          <w:numId w:val="1"/>
        </w:numPr>
        <w:shd w:val="clear" w:color="auto" w:fill="auto"/>
        <w:tabs>
          <w:tab w:pos="923" w:val="left"/>
        </w:tabs>
        <w:bidi w:val="0"/>
        <w:spacing w:before="0" w:after="220"/>
        <w:ind w:left="460" w:right="0" w:firstLine="0"/>
        <w:jc w:val="both"/>
      </w:pPr>
      <w:r>
        <w:rPr>
          <w:color w:val="000000"/>
          <w:spacing w:val="0"/>
          <w:w w:val="100"/>
          <w:position w:val="0"/>
          <w:shd w:val="clear" w:color="auto" w:fill="auto"/>
          <w:lang w:val="pt-PT" w:eastAsia="pt-PT" w:bidi="pt-PT"/>
        </w:rPr>
        <w:t>Nas aferições finais, o(s) índice(s) utilizado(s) para reajuste será(ão), obrigatoriamente, o(s) definitivo(s).</w:t>
      </w:r>
    </w:p>
    <w:p>
      <w:pPr>
        <w:pStyle w:val="Style2"/>
        <w:keepNext w:val="0"/>
        <w:keepLines w:val="0"/>
        <w:widowControl w:val="0"/>
        <w:numPr>
          <w:ilvl w:val="1"/>
          <w:numId w:val="1"/>
        </w:numPr>
        <w:shd w:val="clear" w:color="auto" w:fill="auto"/>
        <w:tabs>
          <w:tab w:pos="923" w:val="left"/>
        </w:tabs>
        <w:bidi w:val="0"/>
        <w:spacing w:before="0" w:after="240"/>
        <w:ind w:left="460" w:right="0" w:firstLine="0"/>
        <w:jc w:val="both"/>
      </w:pPr>
      <w:r>
        <w:rPr>
          <w:color w:val="000000"/>
          <w:spacing w:val="0"/>
          <w:w w:val="100"/>
          <w:position w:val="0"/>
          <w:shd w:val="clear" w:color="auto" w:fill="auto"/>
          <w:lang w:val="pt-PT" w:eastAsia="pt-PT" w:bidi="pt-PT"/>
        </w:rPr>
        <w:t xml:space="preserve">Caso o(s) índice(s) estabelecido(s) para reajustamento venha(m) a ser extinto(s) ou de qualquer forma não possa(m)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ser utilizado(s), será(ão) adotado(s), em substituição, o(s) que vier(em) a ser determinado(s) pela legislação então em vigor.</w:t>
      </w:r>
    </w:p>
    <w:p>
      <w:pPr>
        <w:pStyle w:val="Style2"/>
        <w:keepNext w:val="0"/>
        <w:keepLines w:val="0"/>
        <w:widowControl w:val="0"/>
        <w:numPr>
          <w:ilvl w:val="1"/>
          <w:numId w:val="1"/>
        </w:numPr>
        <w:shd w:val="clear" w:color="auto" w:fill="auto"/>
        <w:tabs>
          <w:tab w:pos="923" w:val="left"/>
        </w:tabs>
        <w:bidi w:val="0"/>
        <w:spacing w:before="0" w:after="220"/>
        <w:ind w:left="460" w:right="0" w:firstLine="0"/>
        <w:jc w:val="both"/>
      </w:pPr>
      <w:r>
        <w:rPr>
          <w:color w:val="000000"/>
          <w:spacing w:val="0"/>
          <w:w w:val="100"/>
          <w:position w:val="0"/>
          <w:shd w:val="clear" w:color="auto" w:fill="auto"/>
          <w:lang w:val="pt-PT" w:eastAsia="pt-PT" w:bidi="pt-PT"/>
        </w:rPr>
        <w:t>Na ausência de previsão legal quanto ao índice substituto, as partes elegerão novo índice oficial, para reajustamento do preço do valor remanescente, por meio de termo aditivo.</w:t>
      </w:r>
    </w:p>
    <w:p>
      <w:pPr>
        <w:pStyle w:val="Style2"/>
        <w:keepNext w:val="0"/>
        <w:keepLines w:val="0"/>
        <w:widowControl w:val="0"/>
        <w:numPr>
          <w:ilvl w:val="1"/>
          <w:numId w:val="1"/>
        </w:numPr>
        <w:shd w:val="clear" w:color="auto" w:fill="auto"/>
        <w:tabs>
          <w:tab w:pos="923" w:val="left"/>
        </w:tabs>
        <w:bidi w:val="0"/>
        <w:spacing w:before="0" w:after="240"/>
        <w:ind w:left="460" w:right="0" w:firstLine="0"/>
        <w:jc w:val="both"/>
      </w:pPr>
      <w:r>
        <w:rPr>
          <w:color w:val="000000"/>
          <w:spacing w:val="0"/>
          <w:w w:val="100"/>
          <w:position w:val="0"/>
          <w:shd w:val="clear" w:color="auto" w:fill="auto"/>
          <w:lang w:val="pt-PT" w:eastAsia="pt-PT" w:bidi="pt-PT"/>
        </w:rPr>
        <w:t>O reajuste será realizado por apostilamento.</w:t>
      </w:r>
    </w:p>
    <w:p>
      <w:pPr>
        <w:pStyle w:val="Style16"/>
        <w:keepNext/>
        <w:keepLines/>
        <w:widowControl w:val="0"/>
        <w:numPr>
          <w:ilvl w:val="0"/>
          <w:numId w:val="1"/>
        </w:numPr>
        <w:shd w:val="clear" w:color="auto" w:fill="auto"/>
        <w:tabs>
          <w:tab w:pos="315" w:val="left"/>
        </w:tabs>
        <w:bidi w:val="0"/>
        <w:spacing w:before="0"/>
        <w:ind w:left="0" w:right="0" w:firstLine="0"/>
        <w:jc w:val="left"/>
      </w:pPr>
      <w:bookmarkStart w:id="8" w:name="bookmark8"/>
      <w:r>
        <w:rPr>
          <w:color w:val="000000"/>
          <w:spacing w:val="0"/>
          <w:w w:val="100"/>
          <w:position w:val="0"/>
          <w:shd w:val="clear" w:color="auto" w:fill="auto"/>
          <w:lang w:val="pt-PT" w:eastAsia="pt-PT" w:bidi="pt-PT"/>
        </w:rPr>
        <w:t xml:space="preserve">CLÁUSULA SÉTIMA - OBRIGAÇÕES DO CONTRATANTE </w:t>
      </w:r>
      <w:r>
        <w:rPr>
          <w:color w:val="000000"/>
          <w:spacing w:val="0"/>
          <w:w w:val="100"/>
          <w:position w:val="0"/>
          <w:shd w:val="clear" w:color="auto" w:fill="auto"/>
          <w:lang w:val="pt-BR" w:eastAsia="pt-BR" w:bidi="pt-BR"/>
        </w:rPr>
        <w:t xml:space="preserve">(art. </w:t>
      </w:r>
      <w:r>
        <w:rPr>
          <w:color w:val="000000"/>
          <w:spacing w:val="0"/>
          <w:w w:val="100"/>
          <w:position w:val="0"/>
          <w:shd w:val="clear" w:color="auto" w:fill="auto"/>
          <w:lang w:val="pt-PT" w:eastAsia="pt-PT" w:bidi="pt-PT"/>
        </w:rPr>
        <w:t>92, X, XI e XIV)</w:t>
      </w:r>
      <w:bookmarkEnd w:id="8"/>
    </w:p>
    <w:p>
      <w:pPr>
        <w:pStyle w:val="Style2"/>
        <w:keepNext w:val="0"/>
        <w:keepLines w:val="0"/>
        <w:widowControl w:val="0"/>
        <w:numPr>
          <w:ilvl w:val="1"/>
          <w:numId w:val="1"/>
        </w:numPr>
        <w:shd w:val="clear" w:color="auto" w:fill="auto"/>
        <w:tabs>
          <w:tab w:pos="918" w:val="left"/>
        </w:tabs>
        <w:bidi w:val="0"/>
        <w:spacing w:before="0" w:after="100"/>
        <w:ind w:left="460" w:right="0" w:firstLine="0"/>
        <w:jc w:val="both"/>
      </w:pPr>
      <w:r>
        <w:rPr>
          <w:color w:val="000000"/>
          <w:spacing w:val="0"/>
          <w:w w:val="100"/>
          <w:position w:val="0"/>
          <w:shd w:val="clear" w:color="auto" w:fill="auto"/>
          <w:lang w:val="pt-PT" w:eastAsia="pt-PT" w:bidi="pt-PT"/>
        </w:rPr>
        <w:t>São obrigações do Contratante:</w:t>
      </w:r>
    </w:p>
    <w:p>
      <w:pPr>
        <w:pStyle w:val="Style2"/>
        <w:keepNext w:val="0"/>
        <w:keepLines w:val="0"/>
        <w:widowControl w:val="0"/>
        <w:numPr>
          <w:ilvl w:val="2"/>
          <w:numId w:val="1"/>
        </w:numPr>
        <w:shd w:val="clear" w:color="auto" w:fill="auto"/>
        <w:tabs>
          <w:tab w:pos="1791" w:val="left"/>
        </w:tabs>
        <w:bidi w:val="0"/>
        <w:spacing w:before="0" w:after="100" w:line="290" w:lineRule="auto"/>
        <w:ind w:left="1160" w:right="0" w:firstLine="0"/>
        <w:jc w:val="both"/>
      </w:pPr>
      <w:r>
        <w:rPr>
          <w:color w:val="000000"/>
          <w:spacing w:val="0"/>
          <w:w w:val="100"/>
          <w:position w:val="0"/>
          <w:shd w:val="clear" w:color="auto" w:fill="auto"/>
          <w:lang w:val="pt-PT" w:eastAsia="pt-PT" w:bidi="pt-PT"/>
        </w:rPr>
        <w:t>Exigir o cumprimento de todas as obrigações assumidas pelo Contratado, de acordo com o contrato e seus anexos;</w:t>
      </w:r>
    </w:p>
    <w:p>
      <w:pPr>
        <w:pStyle w:val="Style2"/>
        <w:keepNext w:val="0"/>
        <w:keepLines w:val="0"/>
        <w:widowControl w:val="0"/>
        <w:numPr>
          <w:ilvl w:val="2"/>
          <w:numId w:val="1"/>
        </w:numPr>
        <w:shd w:val="clear" w:color="auto" w:fill="auto"/>
        <w:tabs>
          <w:tab w:pos="1791" w:val="left"/>
        </w:tabs>
        <w:bidi w:val="0"/>
        <w:spacing w:before="0" w:after="100"/>
        <w:ind w:left="1160" w:right="0" w:firstLine="0"/>
        <w:jc w:val="both"/>
      </w:pPr>
      <w:r>
        <w:rPr>
          <w:color w:val="000000"/>
          <w:spacing w:val="0"/>
          <w:w w:val="100"/>
          <w:position w:val="0"/>
          <w:shd w:val="clear" w:color="auto" w:fill="auto"/>
          <w:lang w:val="pt-PT" w:eastAsia="pt-PT" w:bidi="pt-PT"/>
        </w:rPr>
        <w:t>Receber o objeto no prazo e condições estabelecidas no Termo de Referência;</w:t>
      </w:r>
    </w:p>
    <w:p>
      <w:pPr>
        <w:pStyle w:val="Style2"/>
        <w:keepNext w:val="0"/>
        <w:keepLines w:val="0"/>
        <w:widowControl w:val="0"/>
        <w:numPr>
          <w:ilvl w:val="2"/>
          <w:numId w:val="1"/>
        </w:numPr>
        <w:shd w:val="clear" w:color="auto" w:fill="auto"/>
        <w:tabs>
          <w:tab w:pos="1791" w:val="left"/>
        </w:tabs>
        <w:bidi w:val="0"/>
        <w:spacing w:before="0" w:after="100"/>
        <w:ind w:left="1160" w:right="0" w:firstLine="0"/>
        <w:jc w:val="both"/>
      </w:pPr>
      <w:r>
        <w:rPr>
          <w:color w:val="000000"/>
          <w:spacing w:val="0"/>
          <w:w w:val="100"/>
          <w:position w:val="0"/>
          <w:shd w:val="clear" w:color="auto" w:fill="auto"/>
          <w:lang w:val="pt-PT" w:eastAsia="pt-PT" w:bidi="pt-PT"/>
        </w:rPr>
        <w:t xml:space="preserve">Notificar o Contratado, por escrito, sobre vícios, defeitos ou incorreções verificadas no objeto fornecido, para que seja por ele substituído, reparado ou corrigido, no total ou em parte,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suas expensas;</w:t>
      </w:r>
    </w:p>
    <w:p>
      <w:pPr>
        <w:pStyle w:val="Style2"/>
        <w:keepNext w:val="0"/>
        <w:keepLines w:val="0"/>
        <w:widowControl w:val="0"/>
        <w:numPr>
          <w:ilvl w:val="2"/>
          <w:numId w:val="1"/>
        </w:numPr>
        <w:shd w:val="clear" w:color="auto" w:fill="auto"/>
        <w:tabs>
          <w:tab w:pos="1791" w:val="left"/>
        </w:tabs>
        <w:bidi w:val="0"/>
        <w:spacing w:before="0" w:after="100" w:line="290" w:lineRule="auto"/>
        <w:ind w:left="1160" w:right="0" w:firstLine="0"/>
        <w:jc w:val="both"/>
      </w:pPr>
      <w:r>
        <w:rPr>
          <w:color w:val="000000"/>
          <w:spacing w:val="0"/>
          <w:w w:val="100"/>
          <w:position w:val="0"/>
          <w:shd w:val="clear" w:color="auto" w:fill="auto"/>
          <w:lang w:val="pt-PT" w:eastAsia="pt-PT" w:bidi="pt-PT"/>
        </w:rPr>
        <w:t>Acompanhar e fiscalizar a execução do contrato e o cumprimento das obrigações pelo Contratado;</w:t>
      </w:r>
    </w:p>
    <w:p>
      <w:pPr>
        <w:pStyle w:val="Style2"/>
        <w:keepNext w:val="0"/>
        <w:keepLines w:val="0"/>
        <w:widowControl w:val="0"/>
        <w:numPr>
          <w:ilvl w:val="2"/>
          <w:numId w:val="1"/>
        </w:numPr>
        <w:shd w:val="clear" w:color="auto" w:fill="auto"/>
        <w:tabs>
          <w:tab w:pos="1791" w:val="left"/>
        </w:tabs>
        <w:bidi w:val="0"/>
        <w:spacing w:before="0" w:after="100"/>
        <w:ind w:left="1160" w:right="0" w:firstLine="0"/>
        <w:jc w:val="both"/>
      </w:pPr>
      <w:r>
        <w:rPr>
          <w:color w:val="000000"/>
          <w:spacing w:val="0"/>
          <w:w w:val="100"/>
          <w:position w:val="0"/>
          <w:shd w:val="clear" w:color="auto" w:fill="auto"/>
          <w:lang w:val="pt-PT" w:eastAsia="pt-PT" w:bidi="pt-PT"/>
        </w:rPr>
        <w:t>Efetuar o pagamento ao Contratado do valor correspondente ao fornecimento do objeto, no prazo, forma e condições estabelecidos no presente Contrato;</w:t>
      </w:r>
    </w:p>
    <w:p>
      <w:pPr>
        <w:pStyle w:val="Style2"/>
        <w:keepNext w:val="0"/>
        <w:keepLines w:val="0"/>
        <w:widowControl w:val="0"/>
        <w:numPr>
          <w:ilvl w:val="2"/>
          <w:numId w:val="1"/>
        </w:numPr>
        <w:shd w:val="clear" w:color="auto" w:fill="auto"/>
        <w:tabs>
          <w:tab w:pos="1791" w:val="left"/>
        </w:tabs>
        <w:bidi w:val="0"/>
        <w:spacing w:before="0" w:after="100"/>
        <w:ind w:left="1160" w:right="0" w:firstLine="0"/>
        <w:jc w:val="both"/>
      </w:pPr>
      <w:r>
        <w:rPr>
          <w:color w:val="000000"/>
          <w:spacing w:val="0"/>
          <w:w w:val="100"/>
          <w:position w:val="0"/>
          <w:shd w:val="clear" w:color="auto" w:fill="auto"/>
          <w:lang w:val="pt-PT" w:eastAsia="pt-PT" w:bidi="pt-PT"/>
        </w:rPr>
        <w:t>Aplicar ao Contratado sanções motivadas pela inexecução total ou parcial do Contrato;</w:t>
      </w:r>
    </w:p>
    <w:p>
      <w:pPr>
        <w:pStyle w:val="Style2"/>
        <w:keepNext w:val="0"/>
        <w:keepLines w:val="0"/>
        <w:widowControl w:val="0"/>
        <w:numPr>
          <w:ilvl w:val="2"/>
          <w:numId w:val="1"/>
        </w:numPr>
        <w:shd w:val="clear" w:color="auto" w:fill="auto"/>
        <w:tabs>
          <w:tab w:pos="1791" w:val="left"/>
        </w:tabs>
        <w:bidi w:val="0"/>
        <w:spacing w:before="0" w:after="100" w:line="290" w:lineRule="auto"/>
        <w:ind w:left="1160" w:right="0" w:firstLine="0"/>
        <w:jc w:val="both"/>
      </w:pPr>
      <w:r>
        <w:rPr>
          <w:color w:val="000000"/>
          <w:spacing w:val="0"/>
          <w:w w:val="100"/>
          <w:position w:val="0"/>
          <w:shd w:val="clear" w:color="auto" w:fill="auto"/>
          <w:lang w:val="pt-PT" w:eastAsia="pt-PT" w:bidi="pt-PT"/>
        </w:rPr>
        <w:t>Cientificar o órgão de representação judicial da Advocacia-Geral da União para adoção das medidas cabíveis quando do descumprimento de obrigações pelo Contratado;</w:t>
      </w:r>
    </w:p>
    <w:p>
      <w:pPr>
        <w:pStyle w:val="Style2"/>
        <w:keepNext w:val="0"/>
        <w:keepLines w:val="0"/>
        <w:widowControl w:val="0"/>
        <w:numPr>
          <w:ilvl w:val="2"/>
          <w:numId w:val="1"/>
        </w:numPr>
        <w:shd w:val="clear" w:color="auto" w:fill="auto"/>
        <w:tabs>
          <w:tab w:pos="1791" w:val="left"/>
        </w:tabs>
        <w:bidi w:val="0"/>
        <w:spacing w:before="0" w:after="100" w:line="286" w:lineRule="auto"/>
        <w:ind w:left="1160" w:right="0" w:firstLine="0"/>
        <w:jc w:val="both"/>
      </w:pPr>
      <w:r>
        <w:rPr>
          <w:color w:val="000000"/>
          <w:spacing w:val="0"/>
          <w:w w:val="100"/>
          <w:position w:val="0"/>
          <w:shd w:val="clear" w:color="auto" w:fill="auto"/>
          <w:lang w:val="pt-BR" w:eastAsia="pt-BR" w:bidi="pt-BR"/>
        </w:rPr>
        <w:t xml:space="preserve">Explicitamente </w:t>
      </w:r>
      <w:r>
        <w:rPr>
          <w:color w:val="000000"/>
          <w:spacing w:val="0"/>
          <w:w w:val="100"/>
          <w:position w:val="0"/>
          <w:shd w:val="clear" w:color="auto" w:fill="auto"/>
          <w:lang w:val="pt-PT" w:eastAsia="pt-PT" w:bidi="pt-PT"/>
        </w:rPr>
        <w:t>emitir decisão sobre todas as solicitações e reclamações relacionadas à execução do presente Contrato, ressalvados os requerimentos manifestamente impertinentes, meramente protelatórios ou de nenhum interesse para a boa execução do ajuste.</w:t>
      </w:r>
    </w:p>
    <w:p>
      <w:pPr>
        <w:pStyle w:val="Style2"/>
        <w:keepNext w:val="0"/>
        <w:keepLines w:val="0"/>
        <w:widowControl w:val="0"/>
        <w:numPr>
          <w:ilvl w:val="3"/>
          <w:numId w:val="1"/>
        </w:numPr>
        <w:shd w:val="clear" w:color="auto" w:fill="auto"/>
        <w:tabs>
          <w:tab w:pos="2516" w:val="left"/>
        </w:tabs>
        <w:bidi w:val="0"/>
        <w:spacing w:before="0"/>
        <w:ind w:left="1740" w:right="0" w:firstLine="0"/>
        <w:jc w:val="both"/>
      </w:pPr>
      <w:r>
        <w:rPr>
          <w:color w:val="000000"/>
          <w:spacing w:val="0"/>
          <w:w w:val="100"/>
          <w:position w:val="0"/>
          <w:shd w:val="clear" w:color="auto" w:fill="auto"/>
          <w:lang w:val="pt-PT" w:eastAsia="pt-PT" w:bidi="pt-PT"/>
        </w:rPr>
        <w:t xml:space="preserve">Concluída a instrução do requerimento, a Administração terá o prazo de 5 </w:t>
      </w:r>
      <w:r>
        <w:rPr>
          <w:i/>
          <w:iCs/>
          <w:color w:val="000000"/>
          <w:spacing w:val="0"/>
          <w:w w:val="100"/>
          <w:position w:val="0"/>
          <w:shd w:val="clear" w:color="auto" w:fill="auto"/>
          <w:lang w:val="pt-PT" w:eastAsia="pt-PT" w:bidi="pt-PT"/>
        </w:rPr>
        <w:t>(cinco) dias</w:t>
      </w:r>
      <w:r>
        <w:rPr>
          <w:color w:val="000000"/>
          <w:spacing w:val="0"/>
          <w:w w:val="100"/>
          <w:position w:val="0"/>
          <w:shd w:val="clear" w:color="auto" w:fill="auto"/>
          <w:lang w:val="pt-PT" w:eastAsia="pt-PT" w:bidi="pt-PT"/>
        </w:rPr>
        <w:t xml:space="preserve"> para decidir, admitida a prorrogação motivada por igual período.</w:t>
      </w:r>
    </w:p>
    <w:p>
      <w:pPr>
        <w:pStyle w:val="Style2"/>
        <w:keepNext w:val="0"/>
        <w:keepLines w:val="0"/>
        <w:widowControl w:val="0"/>
        <w:numPr>
          <w:ilvl w:val="1"/>
          <w:numId w:val="1"/>
        </w:numPr>
        <w:shd w:val="clear" w:color="auto" w:fill="auto"/>
        <w:tabs>
          <w:tab w:pos="901" w:val="left"/>
        </w:tabs>
        <w:bidi w:val="0"/>
        <w:spacing w:before="0" w:after="240"/>
        <w:ind w:left="460" w:right="0" w:firstLine="0"/>
        <w:jc w:val="both"/>
      </w:pPr>
      <w:r>
        <w:rPr>
          <w:color w:val="000000"/>
          <w:spacing w:val="0"/>
          <w:w w:val="100"/>
          <w:position w:val="0"/>
          <w:shd w:val="clear" w:color="auto" w:fill="auto"/>
          <w:lang w:val="pt-PT" w:eastAsia="pt-PT" w:bidi="pt-PT"/>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Style16"/>
        <w:keepNext/>
        <w:keepLines/>
        <w:widowControl w:val="0"/>
        <w:numPr>
          <w:ilvl w:val="0"/>
          <w:numId w:val="1"/>
        </w:numPr>
        <w:shd w:val="clear" w:color="auto" w:fill="auto"/>
        <w:tabs>
          <w:tab w:pos="298" w:val="left"/>
        </w:tabs>
        <w:bidi w:val="0"/>
        <w:spacing w:before="0" w:after="480"/>
        <w:ind w:left="0" w:right="0" w:firstLine="0"/>
        <w:jc w:val="left"/>
      </w:pPr>
      <w:bookmarkStart w:id="9" w:name="bookmark9"/>
      <w:r>
        <w:rPr>
          <w:color w:val="000000"/>
          <w:spacing w:val="0"/>
          <w:w w:val="100"/>
          <w:position w:val="0"/>
          <w:shd w:val="clear" w:color="auto" w:fill="auto"/>
          <w:lang w:val="pt-PT" w:eastAsia="pt-PT" w:bidi="pt-PT"/>
        </w:rPr>
        <w:t>CLÁUSULA OITAVA - OBRIGAÇÕES DO CONTRATADO (art. 92, XIV, XVI e XVII)</w:t>
      </w:r>
      <w:bookmarkEnd w:id="9"/>
    </w:p>
    <w:p>
      <w:pPr>
        <w:pStyle w:val="Style2"/>
        <w:keepNext w:val="0"/>
        <w:keepLines w:val="0"/>
        <w:widowControl w:val="0"/>
        <w:numPr>
          <w:ilvl w:val="1"/>
          <w:numId w:val="1"/>
        </w:numPr>
        <w:shd w:val="clear" w:color="auto" w:fill="auto"/>
        <w:tabs>
          <w:tab w:pos="901" w:val="left"/>
        </w:tabs>
        <w:bidi w:val="0"/>
        <w:spacing w:before="0"/>
        <w:ind w:left="460" w:right="0" w:firstLine="0"/>
        <w:jc w:val="both"/>
      </w:pPr>
      <w:r>
        <w:rPr>
          <w:color w:val="000000"/>
          <w:spacing w:val="0"/>
          <w:w w:val="100"/>
          <w:position w:val="0"/>
          <w:shd w:val="clear" w:color="auto" w:fill="auto"/>
          <w:lang w:val="pt-PT" w:eastAsia="pt-PT" w:bidi="pt-PT"/>
        </w:rPr>
        <w:t>O Contratado deve cumprir todas as obrigações constantes deste Contrato, em seus anexos, assumindo como exclusivamente seus os riscos e as despesas decorrentes da boa e perfeita execução do objeto, observando, ainda, as obrigações a seguir dispostas:</w:t>
      </w:r>
    </w:p>
    <w:p>
      <w:pPr>
        <w:pStyle w:val="Style2"/>
        <w:keepNext w:val="0"/>
        <w:keepLines w:val="0"/>
        <w:widowControl w:val="0"/>
        <w:numPr>
          <w:ilvl w:val="2"/>
          <w:numId w:val="1"/>
        </w:numPr>
        <w:shd w:val="clear" w:color="auto" w:fill="auto"/>
        <w:tabs>
          <w:tab w:pos="1774" w:val="left"/>
        </w:tabs>
        <w:bidi w:val="0"/>
        <w:spacing w:before="0"/>
        <w:ind w:left="1160" w:right="0" w:firstLine="0"/>
        <w:jc w:val="both"/>
      </w:pPr>
      <w:r>
        <w:rPr>
          <w:color w:val="000000"/>
          <w:spacing w:val="0"/>
          <w:w w:val="100"/>
          <w:position w:val="0"/>
          <w:shd w:val="clear" w:color="auto" w:fill="auto"/>
          <w:lang w:val="pt-PT" w:eastAsia="pt-PT" w:bidi="pt-PT"/>
        </w:rPr>
        <w:t xml:space="preserve">manter preposto aceito pela Administração no local da obra ou do serviço para </w:t>
      </w:r>
      <w:r>
        <w:rPr>
          <w:color w:val="000000"/>
          <w:spacing w:val="0"/>
          <w:w w:val="100"/>
          <w:position w:val="0"/>
          <w:shd w:val="clear" w:color="auto" w:fill="auto"/>
          <w:lang w:val="pt-BR" w:eastAsia="pt-BR" w:bidi="pt-BR"/>
        </w:rPr>
        <w:t xml:space="preserve">representá-lo </w:t>
      </w:r>
      <w:r>
        <w:rPr>
          <w:color w:val="000000"/>
          <w:spacing w:val="0"/>
          <w:w w:val="100"/>
          <w:position w:val="0"/>
          <w:shd w:val="clear" w:color="auto" w:fill="auto"/>
          <w:lang w:val="pt-PT" w:eastAsia="pt-PT" w:bidi="pt-PT"/>
        </w:rPr>
        <w:t>na execução do contrato.</w:t>
      </w:r>
    </w:p>
    <w:p>
      <w:pPr>
        <w:pStyle w:val="Style2"/>
        <w:keepNext w:val="0"/>
        <w:keepLines w:val="0"/>
        <w:widowControl w:val="0"/>
        <w:numPr>
          <w:ilvl w:val="3"/>
          <w:numId w:val="1"/>
        </w:numPr>
        <w:shd w:val="clear" w:color="auto" w:fill="auto"/>
        <w:tabs>
          <w:tab w:pos="2516" w:val="left"/>
        </w:tabs>
        <w:bidi w:val="0"/>
        <w:spacing w:before="0"/>
        <w:ind w:left="1740" w:right="0" w:firstLine="0"/>
        <w:jc w:val="both"/>
      </w:pPr>
      <w:r>
        <w:rPr>
          <w:color w:val="000000"/>
          <w:spacing w:val="0"/>
          <w:w w:val="100"/>
          <w:position w:val="0"/>
          <w:shd w:val="clear" w:color="auto" w:fill="auto"/>
          <w:lang w:val="pt-PT" w:eastAsia="pt-PT" w:bidi="pt-PT"/>
        </w:rPr>
        <w:t xml:space="preserve">A indicação ou a manutenção do preposto da empresa poderá ser recusada pelo órgão ou entidade, desde que </w:t>
      </w:r>
      <w:r>
        <w:rPr>
          <w:color w:val="000000"/>
          <w:spacing w:val="0"/>
          <w:w w:val="100"/>
          <w:position w:val="0"/>
          <w:shd w:val="clear" w:color="auto" w:fill="auto"/>
          <w:lang w:val="pt-BR" w:eastAsia="pt-BR" w:bidi="pt-BR"/>
        </w:rPr>
        <w:t xml:space="preserve">devidamente </w:t>
      </w:r>
      <w:r>
        <w:rPr>
          <w:color w:val="000000"/>
          <w:spacing w:val="0"/>
          <w:w w:val="100"/>
          <w:position w:val="0"/>
          <w:shd w:val="clear" w:color="auto" w:fill="auto"/>
          <w:lang w:val="pt-PT" w:eastAsia="pt-PT" w:bidi="pt-PT"/>
        </w:rPr>
        <w:t>justificada, devendo a empresa designar outro para o exercício da atividade.</w:t>
      </w:r>
    </w:p>
    <w:p>
      <w:pPr>
        <w:pStyle w:val="Style2"/>
        <w:keepNext w:val="0"/>
        <w:keepLines w:val="0"/>
        <w:widowControl w:val="0"/>
        <w:numPr>
          <w:ilvl w:val="2"/>
          <w:numId w:val="1"/>
        </w:numPr>
        <w:shd w:val="clear" w:color="auto" w:fill="auto"/>
        <w:tabs>
          <w:tab w:pos="1774" w:val="left"/>
        </w:tabs>
        <w:bidi w:val="0"/>
        <w:spacing w:before="0"/>
        <w:ind w:left="1160" w:right="0" w:firstLine="0"/>
        <w:jc w:val="both"/>
      </w:pPr>
      <w:r>
        <w:rPr>
          <w:color w:val="000000"/>
          <w:spacing w:val="0"/>
          <w:w w:val="100"/>
          <w:position w:val="0"/>
          <w:shd w:val="clear" w:color="auto" w:fill="auto"/>
          <w:lang w:val="pt-PT" w:eastAsia="pt-PT" w:bidi="pt-PT"/>
        </w:rPr>
        <w:t xml:space="preserve">Atender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determinações regulares emitidas pelo fiscal do contrato ou autoridade superior (art. 137, II);</w:t>
      </w:r>
    </w:p>
    <w:p>
      <w:pPr>
        <w:pStyle w:val="Style2"/>
        <w:keepNext w:val="0"/>
        <w:keepLines w:val="0"/>
        <w:widowControl w:val="0"/>
        <w:numPr>
          <w:ilvl w:val="2"/>
          <w:numId w:val="1"/>
        </w:numPr>
        <w:shd w:val="clear" w:color="auto" w:fill="auto"/>
        <w:tabs>
          <w:tab w:pos="1774" w:val="left"/>
        </w:tabs>
        <w:bidi w:val="0"/>
        <w:spacing w:before="0" w:line="286" w:lineRule="auto"/>
        <w:ind w:left="1160" w:right="0" w:firstLine="0"/>
        <w:jc w:val="both"/>
      </w:pPr>
      <w:r>
        <w:rPr>
          <w:color w:val="000000"/>
          <w:spacing w:val="0"/>
          <w:w w:val="100"/>
          <w:position w:val="0"/>
          <w:shd w:val="clear" w:color="auto" w:fill="auto"/>
          <w:lang w:val="pt-BR" w:eastAsia="pt-BR" w:bidi="pt-BR"/>
        </w:rPr>
        <w:t xml:space="preserve">Alocar </w:t>
      </w:r>
      <w:r>
        <w:rPr>
          <w:color w:val="000000"/>
          <w:spacing w:val="0"/>
          <w:w w:val="100"/>
          <w:position w:val="0"/>
          <w:shd w:val="clear" w:color="auto" w:fill="auto"/>
          <w:lang w:val="pt-PT" w:eastAsia="pt-PT" w:bidi="pt-PT"/>
        </w:rPr>
        <w:t xml:space="preserve">os empregados necessários, com habilitação e conhecimento adequados, ao perfeito cumprimento das cláusulas deste contrato, fornecendo os materiais, equipamentos, ferramentas e utensílios demandados, cuja quantidade, qualidade e tecnologia deverão atender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recomendações de boa técnica e a legislação de regência;</w:t>
      </w:r>
    </w:p>
    <w:p>
      <w:pPr>
        <w:pStyle w:val="Style2"/>
        <w:keepNext w:val="0"/>
        <w:keepLines w:val="0"/>
        <w:widowControl w:val="0"/>
        <w:numPr>
          <w:ilvl w:val="2"/>
          <w:numId w:val="1"/>
        </w:numPr>
        <w:shd w:val="clear" w:color="auto" w:fill="auto"/>
        <w:tabs>
          <w:tab w:pos="1774" w:val="left"/>
        </w:tabs>
        <w:bidi w:val="0"/>
        <w:spacing w:before="0" w:line="286" w:lineRule="auto"/>
        <w:ind w:left="1160" w:right="0" w:firstLine="0"/>
        <w:jc w:val="both"/>
      </w:pPr>
      <w:r>
        <w:rPr>
          <w:color w:val="000000"/>
          <w:spacing w:val="0"/>
          <w:w w:val="100"/>
          <w:position w:val="0"/>
          <w:shd w:val="clear" w:color="auto" w:fill="auto"/>
          <w:lang w:val="pt-PT" w:eastAsia="pt-PT" w:bidi="pt-PT"/>
        </w:rPr>
        <w:t xml:space="preserve">Reparar, corrigir, remover, reconstruir ou substituir,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suas expensas, no total ou em parte, no prazo fixado pelo fiscal do contrato, os serviços nos quais se verificarem vícios, defeitos ou incorreções resultantes da execução ou dos materiais empregados;</w:t>
      </w:r>
    </w:p>
    <w:p>
      <w:pPr>
        <w:pStyle w:val="Style2"/>
        <w:keepNext w:val="0"/>
        <w:keepLines w:val="0"/>
        <w:widowControl w:val="0"/>
        <w:numPr>
          <w:ilvl w:val="2"/>
          <w:numId w:val="1"/>
        </w:numPr>
        <w:shd w:val="clear" w:color="auto" w:fill="auto"/>
        <w:tabs>
          <w:tab w:pos="1774" w:val="left"/>
        </w:tabs>
        <w:bidi w:val="0"/>
        <w:spacing w:before="0"/>
        <w:ind w:left="1160" w:right="0" w:firstLine="0"/>
        <w:jc w:val="both"/>
      </w:pPr>
      <w:r>
        <w:rPr>
          <w:color w:val="000000"/>
          <w:spacing w:val="0"/>
          <w:w w:val="100"/>
          <w:position w:val="0"/>
          <w:shd w:val="clear" w:color="auto" w:fill="auto"/>
          <w:lang w:val="pt-BR" w:eastAsia="pt-BR" w:bidi="pt-BR"/>
        </w:rPr>
        <w:t xml:space="preserve">Responsabilizar-se </w:t>
      </w:r>
      <w:r>
        <w:rPr>
          <w:color w:val="000000"/>
          <w:spacing w:val="0"/>
          <w:w w:val="100"/>
          <w:position w:val="0"/>
          <w:shd w:val="clear" w:color="auto" w:fill="auto"/>
          <w:lang w:val="pt-PT" w:eastAsia="pt-PT" w:bidi="pt-PT"/>
        </w:rPr>
        <w:t>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pPr>
        <w:pStyle w:val="Style2"/>
        <w:keepNext w:val="0"/>
        <w:keepLines w:val="0"/>
        <w:widowControl w:val="0"/>
        <w:numPr>
          <w:ilvl w:val="2"/>
          <w:numId w:val="1"/>
        </w:numPr>
        <w:shd w:val="clear" w:color="auto" w:fill="auto"/>
        <w:tabs>
          <w:tab w:pos="1774" w:val="left"/>
        </w:tabs>
        <w:bidi w:val="0"/>
        <w:spacing w:before="0" w:line="276" w:lineRule="auto"/>
        <w:ind w:left="1160" w:right="0" w:firstLine="0"/>
        <w:jc w:val="both"/>
      </w:pPr>
      <w:r>
        <w:rPr>
          <w:color w:val="000000"/>
          <w:spacing w:val="0"/>
          <w:w w:val="100"/>
          <w:position w:val="0"/>
          <w:shd w:val="clear" w:color="auto" w:fill="auto"/>
          <w:lang w:val="pt-PT" w:eastAsia="pt-PT" w:bidi="pt-PT"/>
        </w:rPr>
        <w:t>Não contratar, durante a vigência do contrato, cônjuge, companheiro ou parente em linha reta, colateral ou por afinidade, até o terceiro grau, de dirigente do contratante ou do Fiscal ou Gestor do contrato, nos termos do artigo 48, parágrafo único, da Lei n° 14.133, de 2021;</w:t>
      </w:r>
    </w:p>
    <w:p>
      <w:pPr>
        <w:pStyle w:val="Style2"/>
        <w:keepNext w:val="0"/>
        <w:keepLines w:val="0"/>
        <w:widowControl w:val="0"/>
        <w:numPr>
          <w:ilvl w:val="2"/>
          <w:numId w:val="1"/>
        </w:numPr>
        <w:shd w:val="clear" w:color="auto" w:fill="auto"/>
        <w:tabs>
          <w:tab w:pos="1774" w:val="left"/>
        </w:tabs>
        <w:bidi w:val="0"/>
        <w:spacing w:before="0"/>
        <w:ind w:left="1160" w:right="0" w:firstLine="0"/>
        <w:jc w:val="both"/>
      </w:pPr>
      <w:r>
        <w:rPr>
          <w:color w:val="000000"/>
          <w:spacing w:val="0"/>
          <w:w w:val="100"/>
          <w:position w:val="0"/>
          <w:shd w:val="clear" w:color="auto" w:fill="auto"/>
          <w:lang w:val="pt-PT" w:eastAsia="pt-PT" w:bidi="pt-PT"/>
        </w:rPr>
        <w:t>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pPr>
        <w:pStyle w:val="Style2"/>
        <w:keepNext w:val="0"/>
        <w:keepLines w:val="0"/>
        <w:widowControl w:val="0"/>
        <w:numPr>
          <w:ilvl w:val="2"/>
          <w:numId w:val="1"/>
        </w:numPr>
        <w:shd w:val="clear" w:color="auto" w:fill="auto"/>
        <w:tabs>
          <w:tab w:pos="1774" w:val="left"/>
        </w:tabs>
        <w:bidi w:val="0"/>
        <w:spacing w:before="0" w:line="286" w:lineRule="auto"/>
        <w:ind w:left="1160" w:right="0" w:firstLine="0"/>
        <w:jc w:val="both"/>
      </w:pPr>
      <w:r>
        <w:rPr>
          <w:color w:val="000000"/>
          <w:spacing w:val="0"/>
          <w:w w:val="100"/>
          <w:position w:val="0"/>
          <w:shd w:val="clear" w:color="auto" w:fill="auto"/>
          <w:lang w:val="pt-BR" w:eastAsia="pt-BR" w:bidi="pt-BR"/>
        </w:rPr>
        <w:t xml:space="preserve">Responsabilizar-se </w:t>
      </w:r>
      <w:r>
        <w:rPr>
          <w:color w:val="000000"/>
          <w:spacing w:val="0"/>
          <w:w w:val="100"/>
          <w:position w:val="0"/>
          <w:shd w:val="clear" w:color="auto" w:fill="auto"/>
          <w:lang w:val="pt-PT" w:eastAsia="pt-PT" w:bidi="pt-PT"/>
        </w:rPr>
        <w:t xml:space="preserve">pelo cumprimento das obrigações previstas em Acordo, Convenção, Dissídio Coletivo de Trabalho ou equivalentes das categorias abrangidas pelo contrato, por todas as obrigações trabalhistas, sociais, previdenciárias, tributárias e as demais </w:t>
      </w:r>
      <w:r>
        <w:rPr>
          <w:color w:val="000000"/>
          <w:spacing w:val="0"/>
          <w:w w:val="100"/>
          <w:position w:val="0"/>
          <w:shd w:val="clear" w:color="auto" w:fill="auto"/>
          <w:lang w:val="pt-PT" w:eastAsia="pt-PT" w:bidi="pt-PT"/>
        </w:rPr>
        <w:t xml:space="preserve">previstas em legislação específica, cuja </w:t>
      </w:r>
      <w:r>
        <w:rPr>
          <w:color w:val="000000"/>
          <w:spacing w:val="0"/>
          <w:w w:val="100"/>
          <w:position w:val="0"/>
          <w:shd w:val="clear" w:color="auto" w:fill="auto"/>
          <w:lang w:val="pt-BR" w:eastAsia="pt-BR" w:bidi="pt-BR"/>
        </w:rPr>
        <w:t xml:space="preserve">inadimplência </w:t>
      </w:r>
      <w:r>
        <w:rPr>
          <w:color w:val="000000"/>
          <w:spacing w:val="0"/>
          <w:w w:val="100"/>
          <w:position w:val="0"/>
          <w:shd w:val="clear" w:color="auto" w:fill="auto"/>
          <w:lang w:val="pt-PT" w:eastAsia="pt-PT" w:bidi="pt-PT"/>
        </w:rPr>
        <w:t>não transfere a responsabilidade ao Contratante;</w:t>
      </w:r>
    </w:p>
    <w:p>
      <w:pPr>
        <w:pStyle w:val="Style2"/>
        <w:keepNext w:val="0"/>
        <w:keepLines w:val="0"/>
        <w:widowControl w:val="0"/>
        <w:numPr>
          <w:ilvl w:val="2"/>
          <w:numId w:val="1"/>
        </w:numPr>
        <w:shd w:val="clear" w:color="auto" w:fill="auto"/>
        <w:tabs>
          <w:tab w:pos="1835" w:val="left"/>
        </w:tabs>
        <w:bidi w:val="0"/>
        <w:spacing w:before="0"/>
        <w:ind w:left="1160" w:right="0" w:firstLine="0"/>
        <w:jc w:val="both"/>
      </w:pPr>
      <w:r>
        <w:rPr>
          <w:color w:val="000000"/>
          <w:spacing w:val="0"/>
          <w:w w:val="100"/>
          <w:position w:val="0"/>
          <w:shd w:val="clear" w:color="auto" w:fill="auto"/>
          <w:lang w:val="pt-PT" w:eastAsia="pt-PT" w:bidi="pt-PT"/>
        </w:rPr>
        <w:t>Comunicar ao Fiscal do contrato, no prazo de 24 (vinte e quatro) horas, qualquer ocorrência anormal ou acidente que se verifique no local dos serviços.</w:t>
      </w:r>
    </w:p>
    <w:p>
      <w:pPr>
        <w:pStyle w:val="Style2"/>
        <w:keepNext w:val="0"/>
        <w:keepLines w:val="0"/>
        <w:widowControl w:val="0"/>
        <w:numPr>
          <w:ilvl w:val="2"/>
          <w:numId w:val="1"/>
        </w:numPr>
        <w:shd w:val="clear" w:color="auto" w:fill="auto"/>
        <w:tabs>
          <w:tab w:pos="1884" w:val="left"/>
        </w:tabs>
        <w:bidi w:val="0"/>
        <w:spacing w:before="0" w:line="286" w:lineRule="auto"/>
        <w:ind w:left="1160" w:right="0" w:firstLine="0"/>
        <w:jc w:val="both"/>
      </w:pPr>
      <w:r>
        <w:rPr>
          <w:color w:val="000000"/>
          <w:spacing w:val="0"/>
          <w:w w:val="100"/>
          <w:position w:val="0"/>
          <w:shd w:val="clear" w:color="auto" w:fill="auto"/>
          <w:lang w:val="pt-PT" w:eastAsia="pt-PT" w:bidi="pt-PT"/>
        </w:rPr>
        <w:t>Prestar todo esclarecimento ou informação solicitada pelo Contratante ou por seus prepostos, garantindo-lhes o acesso, a qualquer tempo, ao local dos trabalhos, bem como aos documentos relativos à execução do empreendimento.</w:t>
      </w:r>
    </w:p>
    <w:p>
      <w:pPr>
        <w:pStyle w:val="Style2"/>
        <w:keepNext w:val="0"/>
        <w:keepLines w:val="0"/>
        <w:widowControl w:val="0"/>
        <w:numPr>
          <w:ilvl w:val="2"/>
          <w:numId w:val="1"/>
        </w:numPr>
        <w:shd w:val="clear" w:color="auto" w:fill="auto"/>
        <w:tabs>
          <w:tab w:pos="1884" w:val="left"/>
        </w:tabs>
        <w:bidi w:val="0"/>
        <w:spacing w:before="0"/>
        <w:ind w:left="1160" w:right="0" w:firstLine="0"/>
        <w:jc w:val="both"/>
      </w:pPr>
      <w:r>
        <w:rPr>
          <w:color w:val="000000"/>
          <w:spacing w:val="0"/>
          <w:w w:val="100"/>
          <w:position w:val="0"/>
          <w:shd w:val="clear" w:color="auto" w:fill="auto"/>
          <w:lang w:val="pt-PT" w:eastAsia="pt-PT" w:bidi="pt-PT"/>
        </w:rPr>
        <w:t>Paralisar, por determinação do Contratante, qualquer atividade que não esteja sendo executada de acordo com a boa técnica ou que ponha em risco a segurança de pessoas ou bens de terceiros.</w:t>
      </w:r>
    </w:p>
    <w:p>
      <w:pPr>
        <w:pStyle w:val="Style2"/>
        <w:keepNext w:val="0"/>
        <w:keepLines w:val="0"/>
        <w:widowControl w:val="0"/>
        <w:numPr>
          <w:ilvl w:val="2"/>
          <w:numId w:val="1"/>
        </w:numPr>
        <w:shd w:val="clear" w:color="auto" w:fill="auto"/>
        <w:tabs>
          <w:tab w:pos="1884" w:val="left"/>
        </w:tabs>
        <w:bidi w:val="0"/>
        <w:spacing w:before="0"/>
        <w:ind w:left="1160" w:right="0" w:firstLine="0"/>
        <w:jc w:val="both"/>
      </w:pPr>
      <w:r>
        <w:rPr>
          <w:color w:val="000000"/>
          <w:spacing w:val="0"/>
          <w:w w:val="100"/>
          <w:position w:val="0"/>
          <w:shd w:val="clear" w:color="auto" w:fill="auto"/>
          <w:lang w:val="pt-PT" w:eastAsia="pt-PT" w:bidi="pt-PT"/>
        </w:rPr>
        <w:t>Promover a guarda, manutenção e vigilância de materiais, ferramentas, e tudo o que for necessário à execução do objeto, durante a vigência do contrato.</w:t>
      </w:r>
    </w:p>
    <w:p>
      <w:pPr>
        <w:pStyle w:val="Style2"/>
        <w:keepNext w:val="0"/>
        <w:keepLines w:val="0"/>
        <w:widowControl w:val="0"/>
        <w:numPr>
          <w:ilvl w:val="2"/>
          <w:numId w:val="1"/>
        </w:numPr>
        <w:shd w:val="clear" w:color="auto" w:fill="auto"/>
        <w:tabs>
          <w:tab w:pos="1884" w:val="left"/>
        </w:tabs>
        <w:bidi w:val="0"/>
        <w:spacing w:before="0" w:line="286" w:lineRule="auto"/>
        <w:ind w:left="1160" w:right="0" w:firstLine="0"/>
        <w:jc w:val="both"/>
      </w:pPr>
      <w:r>
        <w:rPr>
          <w:color w:val="000000"/>
          <w:spacing w:val="0"/>
          <w:w w:val="100"/>
          <w:position w:val="0"/>
          <w:shd w:val="clear" w:color="auto" w:fill="auto"/>
          <w:lang w:val="pt-PT" w:eastAsia="pt-PT" w:bidi="pt-PT"/>
        </w:rPr>
        <w:t xml:space="preserve">Conduzir os trabalhos com estrita observância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normas da legislação pertinente, cumprindo as determinações dos Poderes Públicos, mantendo sempre limpo o local dos serviços e nas melhores condições de segurança, higiene e disciplina.</w:t>
      </w:r>
    </w:p>
    <w:p>
      <w:pPr>
        <w:pStyle w:val="Style2"/>
        <w:keepNext w:val="0"/>
        <w:keepLines w:val="0"/>
        <w:widowControl w:val="0"/>
        <w:numPr>
          <w:ilvl w:val="2"/>
          <w:numId w:val="1"/>
        </w:numPr>
        <w:shd w:val="clear" w:color="auto" w:fill="auto"/>
        <w:tabs>
          <w:tab w:pos="1884" w:val="left"/>
        </w:tabs>
        <w:bidi w:val="0"/>
        <w:spacing w:before="0" w:line="286" w:lineRule="auto"/>
        <w:ind w:left="1160" w:right="0" w:firstLine="0"/>
        <w:jc w:val="both"/>
      </w:pPr>
      <w:r>
        <w:rPr>
          <w:color w:val="000000"/>
          <w:spacing w:val="0"/>
          <w:w w:val="100"/>
          <w:position w:val="0"/>
          <w:shd w:val="clear" w:color="auto" w:fill="auto"/>
          <w:lang w:val="pt-PT" w:eastAsia="pt-PT" w:bidi="pt-PT"/>
        </w:rPr>
        <w:t xml:space="preserve">Submeter </w:t>
      </w:r>
      <w:r>
        <w:rPr>
          <w:color w:val="000000"/>
          <w:spacing w:val="0"/>
          <w:w w:val="100"/>
          <w:position w:val="0"/>
          <w:shd w:val="clear" w:color="auto" w:fill="auto"/>
          <w:lang w:val="pt-BR" w:eastAsia="pt-BR" w:bidi="pt-BR"/>
        </w:rPr>
        <w:t xml:space="preserve">previamente, </w:t>
      </w:r>
      <w:r>
        <w:rPr>
          <w:color w:val="000000"/>
          <w:spacing w:val="0"/>
          <w:w w:val="100"/>
          <w:position w:val="0"/>
          <w:shd w:val="clear" w:color="auto" w:fill="auto"/>
          <w:lang w:val="pt-PT" w:eastAsia="pt-PT" w:bidi="pt-PT"/>
        </w:rPr>
        <w:t xml:space="preserve">por escrito, ao Contratante, para análise e aprovação, quaisquer mudanças nos métodos executivos que fujam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 xml:space="preserve">especificações do memorial descritivo ou instrumento </w:t>
      </w:r>
      <w:r>
        <w:rPr>
          <w:color w:val="000000"/>
          <w:spacing w:val="0"/>
          <w:w w:val="100"/>
          <w:position w:val="0"/>
          <w:shd w:val="clear" w:color="auto" w:fill="auto"/>
          <w:lang w:val="pt-BR" w:eastAsia="pt-BR" w:bidi="pt-BR"/>
        </w:rPr>
        <w:t>congênere.</w:t>
      </w:r>
    </w:p>
    <w:p>
      <w:pPr>
        <w:pStyle w:val="Style2"/>
        <w:keepNext w:val="0"/>
        <w:keepLines w:val="0"/>
        <w:widowControl w:val="0"/>
        <w:numPr>
          <w:ilvl w:val="2"/>
          <w:numId w:val="1"/>
        </w:numPr>
        <w:shd w:val="clear" w:color="auto" w:fill="auto"/>
        <w:tabs>
          <w:tab w:pos="1884" w:val="left"/>
        </w:tabs>
        <w:bidi w:val="0"/>
        <w:spacing w:before="0"/>
        <w:ind w:left="1160" w:right="0" w:firstLine="0"/>
        <w:jc w:val="both"/>
      </w:pPr>
      <w:r>
        <w:rPr>
          <w:color w:val="000000"/>
          <w:spacing w:val="0"/>
          <w:w w:val="100"/>
          <w:position w:val="0"/>
          <w:shd w:val="clear" w:color="auto" w:fill="auto"/>
          <w:lang w:val="pt-PT" w:eastAsia="pt-PT" w:bidi="pt-PT"/>
        </w:rPr>
        <w:t xml:space="preserve">Não permitir a utilização de qualquer trabalho do menor de </w:t>
      </w:r>
      <w:r>
        <w:rPr>
          <w:color w:val="000000"/>
          <w:spacing w:val="0"/>
          <w:w w:val="100"/>
          <w:position w:val="0"/>
          <w:shd w:val="clear" w:color="auto" w:fill="auto"/>
          <w:lang w:val="pt-BR" w:eastAsia="pt-BR" w:bidi="pt-BR"/>
        </w:rPr>
        <w:t xml:space="preserve">dezesseis </w:t>
      </w:r>
      <w:r>
        <w:rPr>
          <w:color w:val="000000"/>
          <w:spacing w:val="0"/>
          <w:w w:val="100"/>
          <w:position w:val="0"/>
          <w:shd w:val="clear" w:color="auto" w:fill="auto"/>
          <w:lang w:val="pt-PT" w:eastAsia="pt-PT" w:bidi="pt-PT"/>
        </w:rPr>
        <w:t xml:space="preserve">anos, exceto na condição de aprendiz para os maiores de </w:t>
      </w:r>
      <w:r>
        <w:rPr>
          <w:color w:val="000000"/>
          <w:spacing w:val="0"/>
          <w:w w:val="100"/>
          <w:position w:val="0"/>
          <w:shd w:val="clear" w:color="auto" w:fill="auto"/>
          <w:lang w:val="pt-BR" w:eastAsia="pt-BR" w:bidi="pt-BR"/>
        </w:rPr>
        <w:t xml:space="preserve">quatorze </w:t>
      </w:r>
      <w:r>
        <w:rPr>
          <w:color w:val="000000"/>
          <w:spacing w:val="0"/>
          <w:w w:val="100"/>
          <w:position w:val="0"/>
          <w:shd w:val="clear" w:color="auto" w:fill="auto"/>
          <w:lang w:val="pt-PT" w:eastAsia="pt-PT" w:bidi="pt-PT"/>
        </w:rPr>
        <w:t>anos, nem permitir a utilização do trabalho do menor de dezoito anos em trabalho noturno, perigoso ou insalubre;</w:t>
      </w:r>
    </w:p>
    <w:p>
      <w:pPr>
        <w:pStyle w:val="Style2"/>
        <w:keepNext w:val="0"/>
        <w:keepLines w:val="0"/>
        <w:widowControl w:val="0"/>
        <w:numPr>
          <w:ilvl w:val="2"/>
          <w:numId w:val="1"/>
        </w:numPr>
        <w:shd w:val="clear" w:color="auto" w:fill="auto"/>
        <w:tabs>
          <w:tab w:pos="1884" w:val="left"/>
        </w:tabs>
        <w:bidi w:val="0"/>
        <w:spacing w:before="0"/>
        <w:ind w:left="1160" w:right="0" w:firstLine="0"/>
        <w:jc w:val="both"/>
      </w:pPr>
      <w:r>
        <w:rPr>
          <w:color w:val="000000"/>
          <w:spacing w:val="0"/>
          <w:w w:val="100"/>
          <w:position w:val="0"/>
          <w:shd w:val="clear" w:color="auto" w:fill="auto"/>
          <w:lang w:val="pt-PT" w:eastAsia="pt-PT" w:bidi="pt-PT"/>
        </w:rPr>
        <w:t>Manter durante toda a vigência do contrato, em compatibilidade com as obrigações assumidas, todas as condições exigidas para habilitação na licitação, ou para qualificação, na contratação direta;</w:t>
      </w:r>
    </w:p>
    <w:p>
      <w:pPr>
        <w:pStyle w:val="Style2"/>
        <w:keepNext w:val="0"/>
        <w:keepLines w:val="0"/>
        <w:widowControl w:val="0"/>
        <w:numPr>
          <w:ilvl w:val="2"/>
          <w:numId w:val="1"/>
        </w:numPr>
        <w:shd w:val="clear" w:color="auto" w:fill="auto"/>
        <w:tabs>
          <w:tab w:pos="1884" w:val="left"/>
        </w:tabs>
        <w:bidi w:val="0"/>
        <w:spacing w:before="0"/>
        <w:ind w:left="1160" w:right="0" w:firstLine="0"/>
        <w:jc w:val="both"/>
      </w:pPr>
      <w:r>
        <w:rPr>
          <w:color w:val="000000"/>
          <w:spacing w:val="0"/>
          <w:w w:val="100"/>
          <w:position w:val="0"/>
          <w:shd w:val="clear" w:color="auto" w:fill="auto"/>
          <w:lang w:val="pt-PT" w:eastAsia="pt-PT" w:bidi="pt-PT"/>
        </w:rPr>
        <w:t>Cumprir, durante todo o período de execução do contrato, a reserva de cargos prevista em lei para pessoa com deficiência, para reabilitado da Previdência Social ou para aprendiz, bem como as reservas de cargos previstas na legislação (art. 116);</w:t>
      </w:r>
    </w:p>
    <w:p>
      <w:pPr>
        <w:pStyle w:val="Style2"/>
        <w:keepNext w:val="0"/>
        <w:keepLines w:val="0"/>
        <w:widowControl w:val="0"/>
        <w:numPr>
          <w:ilvl w:val="2"/>
          <w:numId w:val="1"/>
        </w:numPr>
        <w:shd w:val="clear" w:color="auto" w:fill="auto"/>
        <w:tabs>
          <w:tab w:pos="1884" w:val="left"/>
        </w:tabs>
        <w:bidi w:val="0"/>
        <w:spacing w:before="0" w:line="288" w:lineRule="auto"/>
        <w:ind w:left="1160" w:right="0" w:firstLine="0"/>
        <w:jc w:val="both"/>
      </w:pPr>
      <w:r>
        <w:rPr>
          <w:color w:val="000000"/>
          <w:spacing w:val="0"/>
          <w:w w:val="100"/>
          <w:position w:val="0"/>
          <w:shd w:val="clear" w:color="auto" w:fill="auto"/>
          <w:lang w:val="pt-PT" w:eastAsia="pt-PT" w:bidi="pt-PT"/>
        </w:rPr>
        <w:t>Comprovar a reserva de cargos a que se refere a cláusula acima, no prazo fixado pelo fiscal do contrato, com a indicação dos empregados que preencheram as referidas vagas (art. 116, parágrafo único);</w:t>
      </w:r>
    </w:p>
    <w:p>
      <w:pPr>
        <w:pStyle w:val="Style2"/>
        <w:keepNext w:val="0"/>
        <w:keepLines w:val="0"/>
        <w:widowControl w:val="0"/>
        <w:numPr>
          <w:ilvl w:val="2"/>
          <w:numId w:val="1"/>
        </w:numPr>
        <w:shd w:val="clear" w:color="auto" w:fill="auto"/>
        <w:tabs>
          <w:tab w:pos="1884" w:val="left"/>
        </w:tabs>
        <w:bidi w:val="0"/>
        <w:spacing w:before="0" w:line="288" w:lineRule="auto"/>
        <w:ind w:left="1160" w:right="0" w:firstLine="0"/>
        <w:jc w:val="both"/>
      </w:pPr>
      <w:r>
        <w:rPr>
          <w:color w:val="000000"/>
          <w:spacing w:val="0"/>
          <w:w w:val="100"/>
          <w:position w:val="0"/>
          <w:shd w:val="clear" w:color="auto" w:fill="auto"/>
          <w:lang w:val="pt-PT" w:eastAsia="pt-PT" w:bidi="pt-PT"/>
        </w:rPr>
        <w:t>Guardar sigilo sobre todas as informações obtidas em decorrência do cumprimento do contrato;</w:t>
      </w:r>
    </w:p>
    <w:p>
      <w:pPr>
        <w:pStyle w:val="Style2"/>
        <w:keepNext w:val="0"/>
        <w:keepLines w:val="0"/>
        <w:widowControl w:val="0"/>
        <w:numPr>
          <w:ilvl w:val="2"/>
          <w:numId w:val="1"/>
        </w:numPr>
        <w:shd w:val="clear" w:color="auto" w:fill="auto"/>
        <w:tabs>
          <w:tab w:pos="1884" w:val="left"/>
        </w:tabs>
        <w:bidi w:val="0"/>
        <w:spacing w:before="0"/>
        <w:ind w:left="1160" w:right="0" w:firstLine="0"/>
        <w:jc w:val="both"/>
      </w:pPr>
      <w:r>
        <w:rPr>
          <w:color w:val="000000"/>
          <w:spacing w:val="0"/>
          <w:w w:val="100"/>
          <w:position w:val="0"/>
          <w:shd w:val="clear" w:color="auto" w:fill="auto"/>
          <w:lang w:val="pt-PT" w:eastAsia="pt-PT" w:bidi="pt-PT"/>
        </w:rPr>
        <w:t xml:space="preserve">Arcar com o </w:t>
      </w:r>
      <w:r>
        <w:rPr>
          <w:color w:val="000000"/>
          <w:spacing w:val="0"/>
          <w:w w:val="100"/>
          <w:position w:val="0"/>
          <w:shd w:val="clear" w:color="auto" w:fill="auto"/>
          <w:lang w:val="pt-BR" w:eastAsia="pt-BR" w:bidi="pt-BR"/>
        </w:rPr>
        <w:t xml:space="preserve">ônus </w:t>
      </w:r>
      <w:r>
        <w:rPr>
          <w:color w:val="000000"/>
          <w:spacing w:val="0"/>
          <w:w w:val="100"/>
          <w:position w:val="0"/>
          <w:shd w:val="clear" w:color="auto" w:fill="auto"/>
          <w:lang w:val="pt-PT" w:eastAsia="pt-PT" w:bidi="pt-PT"/>
        </w:rPr>
        <w:t xml:space="preserve">decorrente de eventual equívoco no dimensionamento dos quantitativos de sua proposta, inclusive quanto aos custos variáveis decorrentes de fatores futuros e incertos, devendo </w:t>
      </w:r>
      <w:r>
        <w:rPr>
          <w:color w:val="000000"/>
          <w:spacing w:val="0"/>
          <w:w w:val="100"/>
          <w:position w:val="0"/>
          <w:shd w:val="clear" w:color="auto" w:fill="auto"/>
          <w:lang w:val="pt-BR" w:eastAsia="pt-BR" w:bidi="pt-BR"/>
        </w:rPr>
        <w:t xml:space="preserve">complementá-los, </w:t>
      </w:r>
      <w:r>
        <w:rPr>
          <w:color w:val="000000"/>
          <w:spacing w:val="0"/>
          <w:w w:val="100"/>
          <w:position w:val="0"/>
          <w:shd w:val="clear" w:color="auto" w:fill="auto"/>
          <w:lang w:val="pt-PT" w:eastAsia="pt-PT" w:bidi="pt-PT"/>
        </w:rPr>
        <w:t>caso o previsto inicialmente em sua proposta não seja satisfatório para o atendimento do objeto da contratação, exceto quando ocorrer algum dos eventos arrolados no art. 124, II, d, da Lei n° 14.133, de 2021.</w:t>
      </w:r>
    </w:p>
    <w:p>
      <w:pPr>
        <w:pStyle w:val="Style2"/>
        <w:keepNext w:val="0"/>
        <w:keepLines w:val="0"/>
        <w:widowControl w:val="0"/>
        <w:numPr>
          <w:ilvl w:val="2"/>
          <w:numId w:val="1"/>
        </w:numPr>
        <w:shd w:val="clear" w:color="auto" w:fill="auto"/>
        <w:tabs>
          <w:tab w:pos="1884" w:val="left"/>
        </w:tabs>
        <w:bidi w:val="0"/>
        <w:spacing w:before="0" w:after="240" w:line="290" w:lineRule="auto"/>
        <w:ind w:left="1160" w:right="0" w:firstLine="0"/>
        <w:jc w:val="both"/>
      </w:pPr>
      <w:r>
        <w:rPr>
          <w:color w:val="000000"/>
          <w:spacing w:val="0"/>
          <w:w w:val="100"/>
          <w:position w:val="0"/>
          <w:shd w:val="clear" w:color="auto" w:fill="auto"/>
          <w:lang w:val="pt-PT" w:eastAsia="pt-PT" w:bidi="pt-PT"/>
        </w:rPr>
        <w:t>Cumprir, além dos postulados legais vigentes de âmbito federal, estadual ou municipal, as normas de segurança do Contratante;</w:t>
      </w:r>
    </w:p>
    <w:p>
      <w:pPr>
        <w:pStyle w:val="Style2"/>
        <w:keepNext w:val="0"/>
        <w:keepLines w:val="0"/>
        <w:widowControl w:val="0"/>
        <w:numPr>
          <w:ilvl w:val="0"/>
          <w:numId w:val="1"/>
        </w:numPr>
        <w:shd w:val="clear" w:color="auto" w:fill="auto"/>
        <w:tabs>
          <w:tab w:pos="368" w:val="left"/>
        </w:tabs>
        <w:bidi w:val="0"/>
        <w:spacing w:before="0"/>
        <w:ind w:left="0" w:right="0" w:firstLine="0"/>
        <w:jc w:val="left"/>
      </w:pPr>
      <w:r>
        <w:rPr>
          <w:b/>
          <w:bCs/>
          <w:i/>
          <w:iCs/>
          <w:color w:val="000000"/>
          <w:spacing w:val="0"/>
          <w:w w:val="100"/>
          <w:position w:val="0"/>
          <w:shd w:val="clear" w:color="auto" w:fill="auto"/>
          <w:lang w:val="pt-PT" w:eastAsia="pt-PT" w:bidi="pt-PT"/>
        </w:rPr>
        <w:t>CLÁUSULA NONA- OBRIGAÇÕES PERTINENTES À LGPD</w:t>
      </w:r>
    </w:p>
    <w:p>
      <w:pPr>
        <w:pStyle w:val="Style2"/>
        <w:keepNext w:val="0"/>
        <w:keepLines w:val="0"/>
        <w:widowControl w:val="0"/>
        <w:numPr>
          <w:ilvl w:val="0"/>
          <w:numId w:val="11"/>
        </w:numPr>
        <w:shd w:val="clear" w:color="auto" w:fill="auto"/>
        <w:tabs>
          <w:tab w:pos="935" w:val="left"/>
        </w:tabs>
        <w:bidi w:val="0"/>
        <w:spacing w:before="0" w:after="360" w:line="276" w:lineRule="auto"/>
        <w:ind w:left="940" w:right="0" w:hanging="500"/>
        <w:jc w:val="both"/>
      </w:pPr>
      <w:r>
        <w:rPr>
          <w:i/>
          <w:iCs/>
          <w:color w:val="000000"/>
          <w:spacing w:val="0"/>
          <w:w w:val="100"/>
          <w:position w:val="0"/>
          <w:shd w:val="clear" w:color="auto" w:fill="auto"/>
          <w:lang w:val="pt-PT" w:eastAsia="pt-PT" w:bidi="pt-PT"/>
        </w:rPr>
        <w:t>As partes deverão cumprir a Lei n° 13.709, de 14 de agosto de 2018 (LGPD), quanto a todos os dados pessoais a que tenham acesso em razão do certame ou do contrato administrativo que</w:t>
      </w:r>
    </w:p>
    <w:p>
      <w:pPr>
        <w:pStyle w:val="Style2"/>
        <w:keepNext w:val="0"/>
        <w:keepLines w:val="0"/>
        <w:widowControl w:val="0"/>
        <w:shd w:val="clear" w:color="auto" w:fill="auto"/>
        <w:bidi w:val="0"/>
        <w:spacing w:before="0" w:after="100" w:line="288" w:lineRule="auto"/>
        <w:ind w:left="860" w:right="0" w:firstLine="60"/>
        <w:jc w:val="both"/>
      </w:pPr>
      <w:r>
        <w:rPr>
          <w:i/>
          <w:iCs/>
          <w:color w:val="000000"/>
          <w:spacing w:val="0"/>
          <w:w w:val="100"/>
          <w:position w:val="0"/>
          <w:shd w:val="clear" w:color="auto" w:fill="auto"/>
          <w:lang w:val="pt-PT" w:eastAsia="pt-PT" w:bidi="pt-PT"/>
        </w:rPr>
        <w:t>eventualmente venha a ser firmado, a partir da apresentação da proposta no procedimento de contratação, independentemente de declaração ou de aceitação expressa.</w:t>
      </w:r>
    </w:p>
    <w:p>
      <w:pPr>
        <w:pStyle w:val="Style2"/>
        <w:keepNext w:val="0"/>
        <w:keepLines w:val="0"/>
        <w:widowControl w:val="0"/>
        <w:numPr>
          <w:ilvl w:val="0"/>
          <w:numId w:val="11"/>
        </w:numPr>
        <w:shd w:val="clear" w:color="auto" w:fill="auto"/>
        <w:tabs>
          <w:tab w:pos="935" w:val="left"/>
        </w:tabs>
        <w:bidi w:val="0"/>
        <w:spacing w:before="0" w:after="100"/>
        <w:ind w:left="940" w:right="0" w:hanging="500"/>
        <w:jc w:val="both"/>
      </w:pPr>
      <w:r>
        <w:rPr>
          <w:i/>
          <w:iCs/>
          <w:color w:val="000000"/>
          <w:spacing w:val="0"/>
          <w:w w:val="100"/>
          <w:position w:val="0"/>
          <w:shd w:val="clear" w:color="auto" w:fill="auto"/>
          <w:lang w:val="pt-PT" w:eastAsia="pt-PT" w:bidi="pt-PT"/>
        </w:rPr>
        <w:t>Os dados obtidos somente poderão ser utilizados para as finalidades que justificaram seu acesso e de acordo com a boa-fé e com os princípios do art. 6° da LGPD.</w:t>
      </w:r>
    </w:p>
    <w:p>
      <w:pPr>
        <w:pStyle w:val="Style2"/>
        <w:keepNext w:val="0"/>
        <w:keepLines w:val="0"/>
        <w:widowControl w:val="0"/>
        <w:numPr>
          <w:ilvl w:val="0"/>
          <w:numId w:val="11"/>
        </w:numPr>
        <w:shd w:val="clear" w:color="auto" w:fill="auto"/>
        <w:tabs>
          <w:tab w:pos="935" w:val="left"/>
        </w:tabs>
        <w:bidi w:val="0"/>
        <w:spacing w:before="0" w:after="100" w:line="300" w:lineRule="auto"/>
        <w:ind w:left="860" w:right="0" w:hanging="420"/>
        <w:jc w:val="both"/>
      </w:pPr>
      <w:r>
        <w:rPr>
          <w:i/>
          <w:iCs/>
          <w:color w:val="000000"/>
          <w:spacing w:val="0"/>
          <w:w w:val="100"/>
          <w:position w:val="0"/>
          <w:shd w:val="clear" w:color="auto" w:fill="auto"/>
          <w:lang w:val="pt-PT" w:eastAsia="pt-PT" w:bidi="pt-PT"/>
        </w:rPr>
        <w:t>É vedado o compartilhamento com terceiros dos dados obtidos fora das hipóteses permitidas em Lei.</w:t>
      </w:r>
    </w:p>
    <w:p>
      <w:pPr>
        <w:pStyle w:val="Style2"/>
        <w:keepNext w:val="0"/>
        <w:keepLines w:val="0"/>
        <w:widowControl w:val="0"/>
        <w:numPr>
          <w:ilvl w:val="0"/>
          <w:numId w:val="11"/>
        </w:numPr>
        <w:shd w:val="clear" w:color="auto" w:fill="auto"/>
        <w:tabs>
          <w:tab w:pos="935" w:val="left"/>
        </w:tabs>
        <w:bidi w:val="0"/>
        <w:spacing w:before="0" w:after="100"/>
        <w:ind w:left="940" w:right="0" w:hanging="500"/>
        <w:jc w:val="both"/>
      </w:pPr>
      <w:r>
        <w:rPr>
          <w:i/>
          <w:iCs/>
          <w:color w:val="000000"/>
          <w:spacing w:val="0"/>
          <w:w w:val="100"/>
          <w:position w:val="0"/>
          <w:shd w:val="clear" w:color="auto" w:fill="auto"/>
          <w:lang w:val="pt-PT" w:eastAsia="pt-PT" w:bidi="pt-PT"/>
        </w:rPr>
        <w:t>A Administração deverá ser informada no prazo de 5 (cinco) dias úteis sobre todos os contratos de suboperação firmados ou que venham a ser celebrados pelo Contratado.</w:t>
      </w:r>
    </w:p>
    <w:p>
      <w:pPr>
        <w:pStyle w:val="Style2"/>
        <w:keepNext w:val="0"/>
        <w:keepLines w:val="0"/>
        <w:widowControl w:val="0"/>
        <w:numPr>
          <w:ilvl w:val="0"/>
          <w:numId w:val="11"/>
        </w:numPr>
        <w:shd w:val="clear" w:color="auto" w:fill="auto"/>
        <w:tabs>
          <w:tab w:pos="935" w:val="left"/>
        </w:tabs>
        <w:bidi w:val="0"/>
        <w:spacing w:before="0" w:after="100"/>
        <w:ind w:left="940" w:right="0" w:hanging="500"/>
        <w:jc w:val="both"/>
      </w:pPr>
      <w:r>
        <w:rPr>
          <w:i/>
          <w:iCs/>
          <w:color w:val="000000"/>
          <w:spacing w:val="0"/>
          <w:w w:val="100"/>
          <w:position w:val="0"/>
          <w:shd w:val="clear" w:color="auto" w:fill="auto"/>
          <w:lang w:val="pt-PT" w:eastAsia="pt-PT" w:bidi="pt-PT"/>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pPr>
        <w:pStyle w:val="Style2"/>
        <w:keepNext w:val="0"/>
        <w:keepLines w:val="0"/>
        <w:widowControl w:val="0"/>
        <w:numPr>
          <w:ilvl w:val="0"/>
          <w:numId w:val="11"/>
        </w:numPr>
        <w:shd w:val="clear" w:color="auto" w:fill="auto"/>
        <w:tabs>
          <w:tab w:pos="935" w:val="left"/>
        </w:tabs>
        <w:bidi w:val="0"/>
        <w:spacing w:before="0" w:after="100"/>
        <w:ind w:left="940" w:right="0" w:hanging="500"/>
        <w:jc w:val="both"/>
      </w:pPr>
      <w:r>
        <w:rPr>
          <w:i/>
          <w:iCs/>
          <w:smallCaps/>
          <w:color w:val="000000"/>
          <w:spacing w:val="0"/>
          <w:w w:val="100"/>
          <w:position w:val="0"/>
          <w:sz w:val="26"/>
          <w:szCs w:val="26"/>
          <w:shd w:val="clear" w:color="auto" w:fill="auto"/>
          <w:lang w:val="pt-PT" w:eastAsia="pt-PT" w:bidi="pt-PT"/>
        </w:rPr>
        <w:t>é</w:t>
      </w:r>
      <w:r>
        <w:rPr>
          <w:i/>
          <w:iCs/>
          <w:color w:val="000000"/>
          <w:spacing w:val="0"/>
          <w:w w:val="100"/>
          <w:position w:val="0"/>
          <w:shd w:val="clear" w:color="auto" w:fill="auto"/>
          <w:lang w:val="pt-PT" w:eastAsia="pt-PT" w:bidi="pt-PT"/>
        </w:rPr>
        <w:t xml:space="preserve"> dever do contratado orientar e treinar seus empregados sobre os deveres, requisitos e responsabilidades decorrentes da LGPD.</w:t>
      </w:r>
    </w:p>
    <w:p>
      <w:pPr>
        <w:pStyle w:val="Style2"/>
        <w:keepNext w:val="0"/>
        <w:keepLines w:val="0"/>
        <w:widowControl w:val="0"/>
        <w:numPr>
          <w:ilvl w:val="0"/>
          <w:numId w:val="11"/>
        </w:numPr>
        <w:shd w:val="clear" w:color="auto" w:fill="auto"/>
        <w:tabs>
          <w:tab w:pos="935" w:val="left"/>
        </w:tabs>
        <w:bidi w:val="0"/>
        <w:spacing w:before="0" w:after="100"/>
        <w:ind w:left="860" w:right="0" w:hanging="420"/>
        <w:jc w:val="both"/>
      </w:pPr>
      <w:r>
        <w:rPr>
          <w:i/>
          <w:iCs/>
          <w:color w:val="000000"/>
          <w:spacing w:val="0"/>
          <w:w w:val="100"/>
          <w:position w:val="0"/>
          <w:shd w:val="clear" w:color="auto" w:fill="auto"/>
          <w:lang w:val="pt-PT" w:eastAsia="pt-PT" w:bidi="pt-PT"/>
        </w:rPr>
        <w:t>O Contratado deverá exigir de suboperadores e subcontratados o cumprimento dos deveres da presente cláusula, permanecendo integralmente responsável por garantir sua observância.</w:t>
      </w:r>
    </w:p>
    <w:p>
      <w:pPr>
        <w:pStyle w:val="Style2"/>
        <w:keepNext w:val="0"/>
        <w:keepLines w:val="0"/>
        <w:widowControl w:val="0"/>
        <w:numPr>
          <w:ilvl w:val="0"/>
          <w:numId w:val="11"/>
        </w:numPr>
        <w:shd w:val="clear" w:color="auto" w:fill="auto"/>
        <w:tabs>
          <w:tab w:pos="935" w:val="left"/>
        </w:tabs>
        <w:bidi w:val="0"/>
        <w:spacing w:before="0" w:after="100" w:line="290" w:lineRule="auto"/>
        <w:ind w:left="940" w:right="0" w:hanging="500"/>
        <w:jc w:val="both"/>
      </w:pPr>
      <w:r>
        <w:rPr>
          <w:i/>
          <w:iCs/>
          <w:color w:val="000000"/>
          <w:spacing w:val="0"/>
          <w:w w:val="100"/>
          <w:position w:val="0"/>
          <w:shd w:val="clear" w:color="auto" w:fill="auto"/>
          <w:lang w:val="pt-PT" w:eastAsia="pt-PT" w:bidi="pt-PT"/>
        </w:rPr>
        <w:t>O Contratante poderá realizar diligência para aferir o cumprimento dessa cláusula, devendo o Contratado atender prontamente eventuais pedidos de comprovação formulados.</w:t>
      </w:r>
    </w:p>
    <w:p>
      <w:pPr>
        <w:pStyle w:val="Style2"/>
        <w:keepNext w:val="0"/>
        <w:keepLines w:val="0"/>
        <w:widowControl w:val="0"/>
        <w:numPr>
          <w:ilvl w:val="0"/>
          <w:numId w:val="11"/>
        </w:numPr>
        <w:shd w:val="clear" w:color="auto" w:fill="auto"/>
        <w:tabs>
          <w:tab w:pos="935" w:val="left"/>
        </w:tabs>
        <w:bidi w:val="0"/>
        <w:spacing w:before="0" w:after="100" w:line="286" w:lineRule="auto"/>
        <w:ind w:left="940" w:right="0" w:hanging="500"/>
        <w:jc w:val="both"/>
      </w:pPr>
      <w:r>
        <w:rPr>
          <w:i/>
          <w:iCs/>
          <w:color w:val="000000"/>
          <w:spacing w:val="0"/>
          <w:w w:val="100"/>
          <w:position w:val="0"/>
          <w:shd w:val="clear" w:color="auto" w:fill="auto"/>
          <w:lang w:val="pt-PT" w:eastAsia="pt-PT" w:bidi="pt-PT"/>
        </w:rPr>
        <w:t>O Contratado deverá prestar, no prazo fixado pelo Contratante, prorrogável justificadamente, quaisquer informações acerca dos dados pessoais para cumprimento da LGPD, inclusive quanto a eventual descarte realizado.</w:t>
      </w:r>
    </w:p>
    <w:p>
      <w:pPr>
        <w:pStyle w:val="Style2"/>
        <w:keepNext w:val="0"/>
        <w:keepLines w:val="0"/>
        <w:widowControl w:val="0"/>
        <w:numPr>
          <w:ilvl w:val="0"/>
          <w:numId w:val="11"/>
        </w:numPr>
        <w:shd w:val="clear" w:color="auto" w:fill="auto"/>
        <w:tabs>
          <w:tab w:pos="970" w:val="left"/>
        </w:tabs>
        <w:bidi w:val="0"/>
        <w:spacing w:before="0" w:after="100"/>
        <w:ind w:left="440" w:right="0" w:firstLine="0"/>
        <w:jc w:val="left"/>
      </w:pPr>
      <w:r>
        <w:rPr>
          <w:i/>
          <w:iCs/>
          <w:color w:val="000000"/>
          <w:spacing w:val="0"/>
          <w:w w:val="100"/>
          <w:position w:val="0"/>
          <w:shd w:val="clear" w:color="auto" w:fill="auto"/>
          <w:lang w:val="pt-PT" w:eastAsia="pt-PT" w:bidi="pt-PT"/>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pPr>
        <w:pStyle w:val="Style2"/>
        <w:keepNext w:val="0"/>
        <w:keepLines w:val="0"/>
        <w:widowControl w:val="0"/>
        <w:shd w:val="clear" w:color="auto" w:fill="auto"/>
        <w:bidi w:val="0"/>
        <w:spacing w:before="0" w:after="100" w:line="288" w:lineRule="auto"/>
        <w:ind w:left="820" w:right="0" w:firstLine="0"/>
        <w:jc w:val="right"/>
      </w:pPr>
      <w:r>
        <w:rPr>
          <w:i/>
          <w:iCs/>
          <w:color w:val="000000"/>
          <w:spacing w:val="0"/>
          <w:w w:val="100"/>
          <w:position w:val="0"/>
          <w:shd w:val="clear" w:color="auto" w:fill="auto"/>
          <w:lang w:val="pt-PT" w:eastAsia="pt-PT" w:bidi="pt-PT"/>
        </w:rPr>
        <w:t>9.10.1 Os referidos bancos de dados devem ser desenvolvidos em formato interoperável, a fim de garantir a reutilização desses dados pela Administração nas hipóteses previstas na LGPD.</w:t>
      </w:r>
    </w:p>
    <w:p>
      <w:pPr>
        <w:pStyle w:val="Style2"/>
        <w:keepNext w:val="0"/>
        <w:keepLines w:val="0"/>
        <w:widowControl w:val="0"/>
        <w:numPr>
          <w:ilvl w:val="0"/>
          <w:numId w:val="11"/>
        </w:numPr>
        <w:shd w:val="clear" w:color="auto" w:fill="auto"/>
        <w:tabs>
          <w:tab w:pos="970" w:val="left"/>
        </w:tabs>
        <w:bidi w:val="0"/>
        <w:spacing w:before="0" w:after="100"/>
        <w:ind w:left="440" w:right="0" w:firstLine="0"/>
        <w:jc w:val="left"/>
      </w:pPr>
      <w:r>
        <w:rPr>
          <w:i/>
          <w:iCs/>
          <w:color w:val="000000"/>
          <w:spacing w:val="0"/>
          <w:w w:val="100"/>
          <w:position w:val="0"/>
          <w:shd w:val="clear" w:color="auto" w:fill="auto"/>
          <w:lang w:val="pt-PT" w:eastAsia="pt-PT" w:bidi="pt-PT"/>
        </w:rPr>
        <w:t>O contrato está sujeito a ser alterado nos procedimentos pertinentes ao tratamento de dados pessoais, quando indicado pela autoridade competente, em especial a ANPD por meio de opiniões técnicas ou recomendações, editadas na forma da LGPD.</w:t>
      </w:r>
    </w:p>
    <w:p>
      <w:pPr>
        <w:pStyle w:val="Style2"/>
        <w:keepNext w:val="0"/>
        <w:keepLines w:val="0"/>
        <w:widowControl w:val="0"/>
        <w:numPr>
          <w:ilvl w:val="0"/>
          <w:numId w:val="11"/>
        </w:numPr>
        <w:shd w:val="clear" w:color="auto" w:fill="auto"/>
        <w:tabs>
          <w:tab w:pos="970" w:val="left"/>
        </w:tabs>
        <w:bidi w:val="0"/>
        <w:spacing w:before="0" w:after="220" w:line="290" w:lineRule="auto"/>
        <w:ind w:left="940" w:right="0" w:hanging="500"/>
        <w:jc w:val="both"/>
      </w:pPr>
      <w:r>
        <w:rPr>
          <w:i/>
          <w:iCs/>
          <w:color w:val="000000"/>
          <w:spacing w:val="0"/>
          <w:w w:val="100"/>
          <w:position w:val="0"/>
          <w:shd w:val="clear" w:color="auto" w:fill="auto"/>
          <w:lang w:val="pt-PT" w:eastAsia="pt-PT" w:bidi="pt-PT"/>
        </w:rPr>
        <w:t xml:space="preserve">Os contratos e </w:t>
      </w:r>
      <w:r>
        <w:rPr>
          <w:i/>
          <w:iCs/>
          <w:color w:val="000000"/>
          <w:spacing w:val="0"/>
          <w:w w:val="100"/>
          <w:position w:val="0"/>
          <w:shd w:val="clear" w:color="auto" w:fill="auto"/>
          <w:lang w:val="pt-BR" w:eastAsia="pt-BR" w:bidi="pt-BR"/>
        </w:rPr>
        <w:t xml:space="preserve">convênios </w:t>
      </w:r>
      <w:r>
        <w:rPr>
          <w:i/>
          <w:iCs/>
          <w:color w:val="000000"/>
          <w:spacing w:val="0"/>
          <w:w w:val="100"/>
          <w:position w:val="0"/>
          <w:shd w:val="clear" w:color="auto" w:fill="auto"/>
          <w:lang w:val="pt-PT" w:eastAsia="pt-PT" w:bidi="pt-PT"/>
        </w:rPr>
        <w:t>de que trata o § 1° do art. 26 da LGPD deverão ser comunicados à autoridade nacional.</w:t>
      </w:r>
    </w:p>
    <w:p>
      <w:pPr>
        <w:pStyle w:val="Style16"/>
        <w:keepNext/>
        <w:keepLines/>
        <w:widowControl w:val="0"/>
        <w:numPr>
          <w:ilvl w:val="0"/>
          <w:numId w:val="1"/>
        </w:numPr>
        <w:shd w:val="clear" w:color="auto" w:fill="auto"/>
        <w:tabs>
          <w:tab w:pos="406" w:val="left"/>
        </w:tabs>
        <w:bidi w:val="0"/>
        <w:spacing w:before="0" w:after="240"/>
        <w:ind w:left="0" w:right="0" w:firstLine="0"/>
        <w:jc w:val="left"/>
      </w:pPr>
      <w:bookmarkStart w:id="10" w:name="bookmark10"/>
      <w:r>
        <w:rPr>
          <w:color w:val="000000"/>
          <w:spacing w:val="0"/>
          <w:w w:val="100"/>
          <w:position w:val="0"/>
          <w:shd w:val="clear" w:color="auto" w:fill="auto"/>
          <w:lang w:val="pt-PT" w:eastAsia="pt-PT" w:bidi="pt-PT"/>
        </w:rPr>
        <w:t>CLÁUSULA DÉCIMA - GARANTIA DE EXECUÇÃO (art. 92, XII e XIII)</w:t>
      </w:r>
      <w:bookmarkEnd w:id="10"/>
    </w:p>
    <w:p>
      <w:pPr>
        <w:pStyle w:val="Style2"/>
        <w:keepNext w:val="0"/>
        <w:keepLines w:val="0"/>
        <w:widowControl w:val="0"/>
        <w:shd w:val="clear" w:color="auto" w:fill="auto"/>
        <w:bidi w:val="0"/>
        <w:spacing w:before="0" w:after="240"/>
        <w:ind w:left="940" w:right="0" w:hanging="500"/>
        <w:jc w:val="both"/>
      </w:pPr>
      <w:r>
        <w:rPr>
          <w:i/>
          <w:iCs/>
          <w:color w:val="000000"/>
          <w:spacing w:val="0"/>
          <w:w w:val="100"/>
          <w:position w:val="0"/>
          <w:shd w:val="clear" w:color="auto" w:fill="auto"/>
          <w:lang w:val="pt-PT" w:eastAsia="pt-PT" w:bidi="pt-PT"/>
        </w:rPr>
        <w:t>10.1 Não haverá exigência de garantia contratual da execução.</w:t>
      </w:r>
    </w:p>
    <w:p>
      <w:pPr>
        <w:pStyle w:val="Style16"/>
        <w:keepNext/>
        <w:keepLines/>
        <w:widowControl w:val="0"/>
        <w:numPr>
          <w:ilvl w:val="0"/>
          <w:numId w:val="1"/>
        </w:numPr>
        <w:shd w:val="clear" w:color="auto" w:fill="auto"/>
        <w:tabs>
          <w:tab w:pos="406" w:val="left"/>
        </w:tabs>
        <w:bidi w:val="0"/>
        <w:spacing w:before="0"/>
        <w:ind w:left="0" w:right="0" w:firstLine="0"/>
        <w:jc w:val="left"/>
      </w:pPr>
      <w:bookmarkStart w:id="11" w:name="bookmark11"/>
      <w:r>
        <w:rPr>
          <w:color w:val="000000"/>
          <w:spacing w:val="0"/>
          <w:w w:val="100"/>
          <w:position w:val="0"/>
          <w:shd w:val="clear" w:color="auto" w:fill="auto"/>
          <w:lang w:val="pt-PT" w:eastAsia="pt-PT" w:bidi="pt-PT"/>
        </w:rPr>
        <w:t>CLÁUSULA DÉCIMA PRIMEIRA - INFRAÇÕES E SANÇÕES ADMINISTRATIVAS (art. 92, XIV)</w:t>
      </w:r>
      <w:bookmarkEnd w:id="11"/>
    </w:p>
    <w:p>
      <w:pPr>
        <w:pStyle w:val="Style2"/>
        <w:keepNext w:val="0"/>
        <w:keepLines w:val="0"/>
        <w:widowControl w:val="0"/>
        <w:numPr>
          <w:ilvl w:val="1"/>
          <w:numId w:val="1"/>
        </w:numPr>
        <w:shd w:val="clear" w:color="auto" w:fill="auto"/>
        <w:tabs>
          <w:tab w:pos="979" w:val="left"/>
        </w:tabs>
        <w:bidi w:val="0"/>
        <w:spacing w:before="0" w:after="100"/>
        <w:ind w:left="940" w:right="0" w:hanging="500"/>
        <w:jc w:val="both"/>
      </w:pPr>
      <w:r>
        <w:rPr>
          <w:color w:val="000000"/>
          <w:spacing w:val="0"/>
          <w:w w:val="100"/>
          <w:position w:val="0"/>
          <w:shd w:val="clear" w:color="auto" w:fill="auto"/>
          <w:lang w:val="pt-PT" w:eastAsia="pt-PT" w:bidi="pt-PT"/>
        </w:rPr>
        <w:t>Comete infração administrativa, nos termos da Lei n° 14.133, de 2021, o Contratado que:</w:t>
      </w:r>
    </w:p>
    <w:p>
      <w:pPr>
        <w:pStyle w:val="Style2"/>
        <w:keepNext w:val="0"/>
        <w:keepLines w:val="0"/>
        <w:widowControl w:val="0"/>
        <w:numPr>
          <w:ilvl w:val="0"/>
          <w:numId w:val="13"/>
        </w:numPr>
        <w:shd w:val="clear" w:color="auto" w:fill="auto"/>
        <w:tabs>
          <w:tab w:pos="1208" w:val="left"/>
        </w:tabs>
        <w:bidi w:val="0"/>
        <w:spacing w:before="0" w:after="440" w:line="240" w:lineRule="auto"/>
        <w:ind w:left="1100" w:right="0" w:hanging="360"/>
        <w:jc w:val="both"/>
      </w:pPr>
      <w:r>
        <w:rPr>
          <w:color w:val="000000"/>
          <w:spacing w:val="0"/>
          <w:w w:val="100"/>
          <w:position w:val="0"/>
          <w:shd w:val="clear" w:color="auto" w:fill="auto"/>
          <w:lang w:val="pt-PT" w:eastAsia="pt-PT" w:bidi="pt-PT"/>
        </w:rPr>
        <w:t>der causa à inexecução parcial do contrato;</w:t>
      </w:r>
    </w:p>
    <w:p>
      <w:pPr>
        <w:pStyle w:val="Style2"/>
        <w:keepNext w:val="0"/>
        <w:keepLines w:val="0"/>
        <w:widowControl w:val="0"/>
        <w:numPr>
          <w:ilvl w:val="0"/>
          <w:numId w:val="13"/>
        </w:numPr>
        <w:shd w:val="clear" w:color="auto" w:fill="auto"/>
        <w:tabs>
          <w:tab w:pos="1208" w:val="left"/>
        </w:tabs>
        <w:bidi w:val="0"/>
        <w:spacing w:before="0"/>
        <w:ind w:left="1220" w:right="0" w:hanging="480"/>
        <w:jc w:val="left"/>
      </w:pPr>
      <w:r>
        <w:rPr>
          <w:color w:val="000000"/>
          <w:spacing w:val="0"/>
          <w:w w:val="100"/>
          <w:position w:val="0"/>
          <w:shd w:val="clear" w:color="auto" w:fill="auto"/>
          <w:lang w:val="pt-PT" w:eastAsia="pt-PT" w:bidi="pt-PT"/>
        </w:rPr>
        <w:t>der causa à inexecução parcial do contrato que cause grave dano à Administração ou ao funcionamento dos serviços públicos ou ao interesse coletivo;</w:t>
      </w:r>
    </w:p>
    <w:p>
      <w:pPr>
        <w:pStyle w:val="Style2"/>
        <w:keepNext w:val="0"/>
        <w:keepLines w:val="0"/>
        <w:widowControl w:val="0"/>
        <w:numPr>
          <w:ilvl w:val="0"/>
          <w:numId w:val="13"/>
        </w:numPr>
        <w:shd w:val="clear" w:color="auto" w:fill="auto"/>
        <w:tabs>
          <w:tab w:pos="1208" w:val="left"/>
        </w:tabs>
        <w:bidi w:val="0"/>
        <w:spacing w:before="0" w:line="286" w:lineRule="auto"/>
        <w:ind w:left="1100" w:right="0" w:hanging="360"/>
        <w:jc w:val="both"/>
      </w:pPr>
      <w:r>
        <w:rPr>
          <w:color w:val="000000"/>
          <w:spacing w:val="0"/>
          <w:w w:val="100"/>
          <w:position w:val="0"/>
          <w:shd w:val="clear" w:color="auto" w:fill="auto"/>
          <w:lang w:val="pt-PT" w:eastAsia="pt-PT" w:bidi="pt-PT"/>
        </w:rPr>
        <w:t>der causa à inexecução total do contrato;</w:t>
      </w:r>
    </w:p>
    <w:p>
      <w:pPr>
        <w:pStyle w:val="Style2"/>
        <w:keepNext w:val="0"/>
        <w:keepLines w:val="0"/>
        <w:widowControl w:val="0"/>
        <w:numPr>
          <w:ilvl w:val="0"/>
          <w:numId w:val="13"/>
        </w:numPr>
        <w:shd w:val="clear" w:color="auto" w:fill="auto"/>
        <w:tabs>
          <w:tab w:pos="1208" w:val="left"/>
        </w:tabs>
        <w:bidi w:val="0"/>
        <w:spacing w:before="0" w:line="286" w:lineRule="auto"/>
        <w:ind w:left="1100" w:right="0" w:hanging="360"/>
        <w:jc w:val="left"/>
      </w:pPr>
      <w:r>
        <w:rPr>
          <w:color w:val="000000"/>
          <w:spacing w:val="0"/>
          <w:w w:val="100"/>
          <w:position w:val="0"/>
          <w:shd w:val="clear" w:color="auto" w:fill="auto"/>
          <w:lang w:val="pt-PT" w:eastAsia="pt-PT" w:bidi="pt-PT"/>
        </w:rPr>
        <w:t>deixar de entregar a documentação exigida para o certame;</w:t>
      </w:r>
    </w:p>
    <w:p>
      <w:pPr>
        <w:pStyle w:val="Style2"/>
        <w:keepNext w:val="0"/>
        <w:keepLines w:val="0"/>
        <w:widowControl w:val="0"/>
        <w:numPr>
          <w:ilvl w:val="0"/>
          <w:numId w:val="13"/>
        </w:numPr>
        <w:shd w:val="clear" w:color="auto" w:fill="auto"/>
        <w:tabs>
          <w:tab w:pos="1208" w:val="left"/>
        </w:tabs>
        <w:bidi w:val="0"/>
        <w:spacing w:before="0" w:line="286" w:lineRule="auto"/>
        <w:ind w:left="1100" w:right="0" w:hanging="360"/>
        <w:jc w:val="left"/>
      </w:pPr>
      <w:r>
        <w:rPr>
          <w:color w:val="000000"/>
          <w:spacing w:val="0"/>
          <w:w w:val="100"/>
          <w:position w:val="0"/>
          <w:shd w:val="clear" w:color="auto" w:fill="auto"/>
          <w:lang w:val="pt-PT" w:eastAsia="pt-PT" w:bidi="pt-PT"/>
        </w:rPr>
        <w:t xml:space="preserve">não manter a proposta, salvo em decorrência de fato superveniente </w:t>
      </w:r>
      <w:r>
        <w:rPr>
          <w:color w:val="000000"/>
          <w:spacing w:val="0"/>
          <w:w w:val="100"/>
          <w:position w:val="0"/>
          <w:shd w:val="clear" w:color="auto" w:fill="auto"/>
          <w:lang w:val="pt-BR" w:eastAsia="pt-BR" w:bidi="pt-BR"/>
        </w:rPr>
        <w:t xml:space="preserve">devidamente </w:t>
      </w:r>
      <w:r>
        <w:rPr>
          <w:color w:val="000000"/>
          <w:spacing w:val="0"/>
          <w:w w:val="100"/>
          <w:position w:val="0"/>
          <w:shd w:val="clear" w:color="auto" w:fill="auto"/>
          <w:lang w:val="pt-PT" w:eastAsia="pt-PT" w:bidi="pt-PT"/>
        </w:rPr>
        <w:t>justificado;</w:t>
      </w:r>
    </w:p>
    <w:p>
      <w:pPr>
        <w:pStyle w:val="Style2"/>
        <w:keepNext w:val="0"/>
        <w:keepLines w:val="0"/>
        <w:widowControl w:val="0"/>
        <w:numPr>
          <w:ilvl w:val="0"/>
          <w:numId w:val="13"/>
        </w:numPr>
        <w:shd w:val="clear" w:color="auto" w:fill="auto"/>
        <w:tabs>
          <w:tab w:pos="1208" w:val="left"/>
        </w:tabs>
        <w:bidi w:val="0"/>
        <w:spacing w:before="0"/>
        <w:ind w:left="1220" w:right="0" w:hanging="480"/>
        <w:jc w:val="left"/>
      </w:pPr>
      <w:r>
        <w:rPr>
          <w:color w:val="000000"/>
          <w:spacing w:val="0"/>
          <w:w w:val="100"/>
          <w:position w:val="0"/>
          <w:shd w:val="clear" w:color="auto" w:fill="auto"/>
          <w:lang w:val="pt-PT" w:eastAsia="pt-PT" w:bidi="pt-PT"/>
        </w:rPr>
        <w:t>não celebrar o contrato ou não entregar a documentação exigida para a contratação, quando convocado dentro do prazo de validade de sua proposta;</w:t>
      </w:r>
    </w:p>
    <w:p>
      <w:pPr>
        <w:pStyle w:val="Style2"/>
        <w:keepNext w:val="0"/>
        <w:keepLines w:val="0"/>
        <w:widowControl w:val="0"/>
        <w:numPr>
          <w:ilvl w:val="0"/>
          <w:numId w:val="13"/>
        </w:numPr>
        <w:shd w:val="clear" w:color="auto" w:fill="auto"/>
        <w:tabs>
          <w:tab w:pos="1208" w:val="left"/>
        </w:tabs>
        <w:bidi w:val="0"/>
        <w:spacing w:before="0" w:line="300" w:lineRule="auto"/>
        <w:ind w:left="1220" w:right="0" w:hanging="480"/>
        <w:jc w:val="left"/>
      </w:pPr>
      <w:r>
        <w:rPr>
          <w:color w:val="000000"/>
          <w:spacing w:val="0"/>
          <w:w w:val="100"/>
          <w:position w:val="0"/>
          <w:shd w:val="clear" w:color="auto" w:fill="auto"/>
          <w:lang w:val="pt-PT" w:eastAsia="pt-PT" w:bidi="pt-PT"/>
        </w:rPr>
        <w:t>ensejar o retardamento da execução ou da entrega do objeto da contratação sem motivo justificado;</w:t>
      </w:r>
    </w:p>
    <w:p>
      <w:pPr>
        <w:pStyle w:val="Style2"/>
        <w:keepNext w:val="0"/>
        <w:keepLines w:val="0"/>
        <w:widowControl w:val="0"/>
        <w:numPr>
          <w:ilvl w:val="0"/>
          <w:numId w:val="13"/>
        </w:numPr>
        <w:shd w:val="clear" w:color="auto" w:fill="auto"/>
        <w:tabs>
          <w:tab w:pos="1208" w:val="left"/>
        </w:tabs>
        <w:bidi w:val="0"/>
        <w:spacing w:before="0" w:line="290" w:lineRule="auto"/>
        <w:ind w:left="1220" w:right="0" w:hanging="480"/>
        <w:jc w:val="left"/>
      </w:pPr>
      <w:r>
        <w:rPr>
          <w:color w:val="000000"/>
          <w:spacing w:val="0"/>
          <w:w w:val="100"/>
          <w:position w:val="0"/>
          <w:shd w:val="clear" w:color="auto" w:fill="auto"/>
          <w:lang w:val="pt-PT" w:eastAsia="pt-PT" w:bidi="pt-PT"/>
        </w:rPr>
        <w:t xml:space="preserve">apresentar declaração ou documentação falsa exigida para o certame ou prestar declaração falsa durante a dispensa </w:t>
      </w:r>
      <w:r>
        <w:rPr>
          <w:color w:val="000000"/>
          <w:spacing w:val="0"/>
          <w:w w:val="100"/>
          <w:position w:val="0"/>
          <w:shd w:val="clear" w:color="auto" w:fill="auto"/>
          <w:lang w:val="pt-BR" w:eastAsia="pt-BR" w:bidi="pt-BR"/>
        </w:rPr>
        <w:t xml:space="preserve">eletrônica </w:t>
      </w:r>
      <w:r>
        <w:rPr>
          <w:color w:val="000000"/>
          <w:spacing w:val="0"/>
          <w:w w:val="100"/>
          <w:position w:val="0"/>
          <w:shd w:val="clear" w:color="auto" w:fill="auto"/>
          <w:lang w:val="pt-PT" w:eastAsia="pt-PT" w:bidi="pt-PT"/>
        </w:rPr>
        <w:t>ou execução do contrato;</w:t>
      </w:r>
    </w:p>
    <w:p>
      <w:pPr>
        <w:pStyle w:val="Style2"/>
        <w:keepNext w:val="0"/>
        <w:keepLines w:val="0"/>
        <w:widowControl w:val="0"/>
        <w:numPr>
          <w:ilvl w:val="0"/>
          <w:numId w:val="13"/>
        </w:numPr>
        <w:shd w:val="clear" w:color="auto" w:fill="auto"/>
        <w:tabs>
          <w:tab w:pos="1208" w:val="left"/>
        </w:tabs>
        <w:bidi w:val="0"/>
        <w:spacing w:before="0" w:line="286" w:lineRule="auto"/>
        <w:ind w:left="1100" w:right="0" w:hanging="360"/>
        <w:jc w:val="left"/>
      </w:pPr>
      <w:r>
        <w:rPr>
          <w:color w:val="000000"/>
          <w:spacing w:val="0"/>
          <w:w w:val="100"/>
          <w:position w:val="0"/>
          <w:shd w:val="clear" w:color="auto" w:fill="auto"/>
          <w:lang w:val="pt-PT" w:eastAsia="pt-PT" w:bidi="pt-PT"/>
        </w:rPr>
        <w:t>fraudar a contratação ou praticar ato fraudulento na execução do contrato;</w:t>
      </w:r>
    </w:p>
    <w:p>
      <w:pPr>
        <w:pStyle w:val="Style2"/>
        <w:keepNext w:val="0"/>
        <w:keepLines w:val="0"/>
        <w:widowControl w:val="0"/>
        <w:numPr>
          <w:ilvl w:val="0"/>
          <w:numId w:val="13"/>
        </w:numPr>
        <w:shd w:val="clear" w:color="auto" w:fill="auto"/>
        <w:tabs>
          <w:tab w:pos="1208" w:val="left"/>
        </w:tabs>
        <w:bidi w:val="0"/>
        <w:spacing w:before="0" w:line="286" w:lineRule="auto"/>
        <w:ind w:left="1100" w:right="0" w:hanging="360"/>
        <w:jc w:val="left"/>
      </w:pPr>
      <w:r>
        <w:rPr>
          <w:color w:val="000000"/>
          <w:spacing w:val="0"/>
          <w:w w:val="100"/>
          <w:position w:val="0"/>
          <w:shd w:val="clear" w:color="auto" w:fill="auto"/>
          <w:lang w:val="pt-BR" w:eastAsia="pt-BR" w:bidi="pt-BR"/>
        </w:rPr>
        <w:t xml:space="preserve">comportar-se </w:t>
      </w:r>
      <w:r>
        <w:rPr>
          <w:color w:val="000000"/>
          <w:spacing w:val="0"/>
          <w:w w:val="100"/>
          <w:position w:val="0"/>
          <w:shd w:val="clear" w:color="auto" w:fill="auto"/>
          <w:lang w:val="pt-PT" w:eastAsia="pt-PT" w:bidi="pt-PT"/>
        </w:rPr>
        <w:t xml:space="preserve">de modo </w:t>
      </w:r>
      <w:r>
        <w:rPr>
          <w:color w:val="000000"/>
          <w:spacing w:val="0"/>
          <w:w w:val="100"/>
          <w:position w:val="0"/>
          <w:shd w:val="clear" w:color="auto" w:fill="auto"/>
          <w:lang w:val="pt-BR" w:eastAsia="pt-BR" w:bidi="pt-BR"/>
        </w:rPr>
        <w:t xml:space="preserve">inidôneo </w:t>
      </w:r>
      <w:r>
        <w:rPr>
          <w:color w:val="000000"/>
          <w:spacing w:val="0"/>
          <w:w w:val="100"/>
          <w:position w:val="0"/>
          <w:shd w:val="clear" w:color="auto" w:fill="auto"/>
          <w:lang w:val="pt-PT" w:eastAsia="pt-PT" w:bidi="pt-PT"/>
        </w:rPr>
        <w:t>ou cometer fraude de qualquer natureza;</w:t>
      </w:r>
    </w:p>
    <w:p>
      <w:pPr>
        <w:pStyle w:val="Style2"/>
        <w:keepNext w:val="0"/>
        <w:keepLines w:val="0"/>
        <w:widowControl w:val="0"/>
        <w:numPr>
          <w:ilvl w:val="0"/>
          <w:numId w:val="13"/>
        </w:numPr>
        <w:shd w:val="clear" w:color="auto" w:fill="auto"/>
        <w:tabs>
          <w:tab w:pos="1208" w:val="left"/>
        </w:tabs>
        <w:bidi w:val="0"/>
        <w:spacing w:before="0" w:line="286" w:lineRule="auto"/>
        <w:ind w:left="1100" w:right="0" w:hanging="360"/>
        <w:jc w:val="left"/>
      </w:pPr>
      <w:r>
        <w:rPr>
          <w:color w:val="000000"/>
          <w:spacing w:val="0"/>
          <w:w w:val="100"/>
          <w:position w:val="0"/>
          <w:shd w:val="clear" w:color="auto" w:fill="auto"/>
          <w:lang w:val="pt-PT" w:eastAsia="pt-PT" w:bidi="pt-PT"/>
        </w:rPr>
        <w:t>praticar atos ilícitos com vistas a frustrar os objetivos da contratação;</w:t>
      </w:r>
    </w:p>
    <w:p>
      <w:pPr>
        <w:pStyle w:val="Style2"/>
        <w:keepNext w:val="0"/>
        <w:keepLines w:val="0"/>
        <w:widowControl w:val="0"/>
        <w:numPr>
          <w:ilvl w:val="0"/>
          <w:numId w:val="13"/>
        </w:numPr>
        <w:shd w:val="clear" w:color="auto" w:fill="auto"/>
        <w:tabs>
          <w:tab w:pos="1208" w:val="left"/>
        </w:tabs>
        <w:bidi w:val="0"/>
        <w:spacing w:before="0" w:line="286" w:lineRule="auto"/>
        <w:ind w:left="1100" w:right="0" w:hanging="360"/>
        <w:jc w:val="left"/>
      </w:pPr>
      <w:r>
        <w:rPr>
          <w:color w:val="000000"/>
          <w:spacing w:val="0"/>
          <w:w w:val="100"/>
          <w:position w:val="0"/>
          <w:shd w:val="clear" w:color="auto" w:fill="auto"/>
          <w:lang w:val="pt-PT" w:eastAsia="pt-PT" w:bidi="pt-PT"/>
        </w:rPr>
        <w:t>praticar ato lesivo previsto no art. 5</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xml:space="preserve"> da Lei n° 12.846, de 1</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xml:space="preserve"> de agosto de 2013.</w:t>
      </w:r>
    </w:p>
    <w:p>
      <w:pPr>
        <w:pStyle w:val="Style2"/>
        <w:keepNext w:val="0"/>
        <w:keepLines w:val="0"/>
        <w:widowControl w:val="0"/>
        <w:numPr>
          <w:ilvl w:val="1"/>
          <w:numId w:val="1"/>
        </w:numPr>
        <w:shd w:val="clear" w:color="auto" w:fill="auto"/>
        <w:tabs>
          <w:tab w:pos="1030" w:val="left"/>
        </w:tabs>
        <w:bidi w:val="0"/>
        <w:spacing w:before="0" w:line="288" w:lineRule="auto"/>
        <w:ind w:left="460" w:right="0" w:firstLine="0"/>
        <w:jc w:val="both"/>
      </w:pPr>
      <w:r>
        <w:rPr>
          <w:color w:val="000000"/>
          <w:spacing w:val="0"/>
          <w:w w:val="100"/>
          <w:position w:val="0"/>
          <w:shd w:val="clear" w:color="auto" w:fill="auto"/>
          <w:lang w:val="pt-PT" w:eastAsia="pt-PT" w:bidi="pt-PT"/>
        </w:rPr>
        <w:t>Serão aplicadas ao responsável pelas infrações administrativas acima descritas as seguintes sanções:</w:t>
      </w:r>
    </w:p>
    <w:p>
      <w:pPr>
        <w:pStyle w:val="Style2"/>
        <w:keepNext w:val="0"/>
        <w:keepLines w:val="0"/>
        <w:widowControl w:val="0"/>
        <w:numPr>
          <w:ilvl w:val="0"/>
          <w:numId w:val="15"/>
        </w:numPr>
        <w:shd w:val="clear" w:color="auto" w:fill="auto"/>
        <w:tabs>
          <w:tab w:pos="1003" w:val="left"/>
        </w:tabs>
        <w:bidi w:val="0"/>
        <w:spacing w:before="0"/>
        <w:ind w:left="1100" w:right="0" w:hanging="360"/>
        <w:jc w:val="left"/>
      </w:pPr>
      <w:r>
        <w:rPr>
          <w:b/>
          <w:bCs/>
          <w:color w:val="000000"/>
          <w:spacing w:val="0"/>
          <w:w w:val="100"/>
          <w:position w:val="0"/>
          <w:shd w:val="clear" w:color="auto" w:fill="auto"/>
          <w:lang w:val="pt-PT" w:eastAsia="pt-PT" w:bidi="pt-PT"/>
        </w:rPr>
        <w:t xml:space="preserve">Advertência, </w:t>
      </w:r>
      <w:r>
        <w:rPr>
          <w:color w:val="000000"/>
          <w:spacing w:val="0"/>
          <w:w w:val="100"/>
          <w:position w:val="0"/>
          <w:shd w:val="clear" w:color="auto" w:fill="auto"/>
          <w:lang w:val="pt-PT" w:eastAsia="pt-PT" w:bidi="pt-PT"/>
        </w:rPr>
        <w:t xml:space="preserve">quando o Contratado der causa à inexecução parcial do contrato, sempre que não se justificar a imposição de penalidade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grave (art. 156, §2°, da Lei);</w:t>
      </w:r>
    </w:p>
    <w:p>
      <w:pPr>
        <w:pStyle w:val="Style2"/>
        <w:keepNext w:val="0"/>
        <w:keepLines w:val="0"/>
        <w:widowControl w:val="0"/>
        <w:numPr>
          <w:ilvl w:val="0"/>
          <w:numId w:val="15"/>
        </w:numPr>
        <w:shd w:val="clear" w:color="auto" w:fill="auto"/>
        <w:tabs>
          <w:tab w:pos="1208" w:val="left"/>
        </w:tabs>
        <w:bidi w:val="0"/>
        <w:spacing w:before="0"/>
        <w:ind w:left="1100" w:right="0" w:hanging="360"/>
        <w:jc w:val="both"/>
      </w:pPr>
      <w:r>
        <w:rPr>
          <w:b/>
          <w:bCs/>
          <w:color w:val="000000"/>
          <w:spacing w:val="0"/>
          <w:w w:val="100"/>
          <w:position w:val="0"/>
          <w:shd w:val="clear" w:color="auto" w:fill="auto"/>
          <w:lang w:val="pt-PT" w:eastAsia="pt-PT" w:bidi="pt-PT"/>
        </w:rPr>
        <w:t xml:space="preserve">Impedimento de licitar e contratar, </w:t>
      </w:r>
      <w:r>
        <w:rPr>
          <w:color w:val="000000"/>
          <w:spacing w:val="0"/>
          <w:w w:val="100"/>
          <w:position w:val="0"/>
          <w:shd w:val="clear" w:color="auto" w:fill="auto"/>
          <w:lang w:val="pt-PT" w:eastAsia="pt-PT" w:bidi="pt-PT"/>
        </w:rPr>
        <w:t xml:space="preserve">quando praticadas as condutas descritas nas alíneas b, c, d, e, f e g do subitem acima deste Contrato, sempre que não se justificar a imposição de penalidade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grave (art. 156, §4°, da Lei);</w:t>
      </w:r>
    </w:p>
    <w:p>
      <w:pPr>
        <w:pStyle w:val="Style2"/>
        <w:keepNext w:val="0"/>
        <w:keepLines w:val="0"/>
        <w:widowControl w:val="0"/>
        <w:numPr>
          <w:ilvl w:val="0"/>
          <w:numId w:val="15"/>
        </w:numPr>
        <w:shd w:val="clear" w:color="auto" w:fill="auto"/>
        <w:tabs>
          <w:tab w:pos="1208" w:val="left"/>
        </w:tabs>
        <w:bidi w:val="0"/>
        <w:spacing w:before="0" w:line="286" w:lineRule="auto"/>
        <w:ind w:left="1100" w:right="0" w:hanging="360"/>
        <w:jc w:val="both"/>
      </w:pPr>
      <w:r>
        <w:rPr>
          <w:b/>
          <w:bCs/>
          <w:color w:val="000000"/>
          <w:spacing w:val="0"/>
          <w:w w:val="100"/>
          <w:position w:val="0"/>
          <w:shd w:val="clear" w:color="auto" w:fill="auto"/>
          <w:lang w:val="pt-PT" w:eastAsia="pt-PT" w:bidi="pt-PT"/>
        </w:rPr>
        <w:t xml:space="preserve">Declaração de inidoneidade para licitar e contratar, </w:t>
      </w:r>
      <w:r>
        <w:rPr>
          <w:color w:val="000000"/>
          <w:spacing w:val="0"/>
          <w:w w:val="100"/>
          <w:position w:val="0"/>
          <w:shd w:val="clear" w:color="auto" w:fill="auto"/>
          <w:lang w:val="pt-PT" w:eastAsia="pt-PT" w:bidi="pt-PT"/>
        </w:rPr>
        <w:t xml:space="preserve">quando praticadas as condutas descritas nas alíneas h, i, j, k e I do subitem acima deste Contrato, bem como nas alíneas b, c, d, e, f e g, que justifiquem a imposição de penalidade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grave (art. 156, §5°, da Lei)</w:t>
      </w:r>
    </w:p>
    <w:p>
      <w:pPr>
        <w:pStyle w:val="Style2"/>
        <w:keepNext w:val="0"/>
        <w:keepLines w:val="0"/>
        <w:widowControl w:val="0"/>
        <w:numPr>
          <w:ilvl w:val="0"/>
          <w:numId w:val="15"/>
        </w:numPr>
        <w:shd w:val="clear" w:color="auto" w:fill="auto"/>
        <w:tabs>
          <w:tab w:pos="1208" w:val="left"/>
        </w:tabs>
        <w:bidi w:val="0"/>
        <w:spacing w:before="0" w:line="286" w:lineRule="auto"/>
        <w:ind w:left="1100" w:right="0" w:hanging="360"/>
        <w:jc w:val="left"/>
      </w:pPr>
      <w:r>
        <w:rPr>
          <w:b/>
          <w:bCs/>
          <w:color w:val="000000"/>
          <w:spacing w:val="0"/>
          <w:w w:val="100"/>
          <w:position w:val="0"/>
          <w:shd w:val="clear" w:color="auto" w:fill="auto"/>
          <w:lang w:val="pt-PT" w:eastAsia="pt-PT" w:bidi="pt-PT"/>
        </w:rPr>
        <w:t>Multa:</w:t>
      </w:r>
    </w:p>
    <w:p>
      <w:pPr>
        <w:pStyle w:val="Style2"/>
        <w:keepNext w:val="0"/>
        <w:keepLines w:val="0"/>
        <w:widowControl w:val="0"/>
        <w:numPr>
          <w:ilvl w:val="0"/>
          <w:numId w:val="17"/>
        </w:numPr>
        <w:shd w:val="clear" w:color="auto" w:fill="auto"/>
        <w:tabs>
          <w:tab w:pos="1517" w:val="left"/>
        </w:tabs>
        <w:bidi w:val="0"/>
        <w:spacing w:before="0"/>
        <w:ind w:left="1460" w:right="0" w:hanging="340"/>
        <w:jc w:val="both"/>
      </w:pPr>
      <w:r>
        <w:rPr>
          <w:color w:val="000000"/>
          <w:spacing w:val="0"/>
          <w:w w:val="100"/>
          <w:position w:val="0"/>
          <w:shd w:val="clear" w:color="auto" w:fill="auto"/>
          <w:lang w:val="pt-PT" w:eastAsia="pt-PT" w:bidi="pt-PT"/>
        </w:rPr>
        <w:t>moratória de 20% (vinte por cento) por dia de atraso injustificado sobre o valor da parcela inadimplida, até o limite de 30 (trinta) dias;</w:t>
      </w:r>
    </w:p>
    <w:p>
      <w:pPr>
        <w:pStyle w:val="Style2"/>
        <w:keepNext w:val="0"/>
        <w:keepLines w:val="0"/>
        <w:widowControl w:val="0"/>
        <w:numPr>
          <w:ilvl w:val="0"/>
          <w:numId w:val="17"/>
        </w:numPr>
        <w:shd w:val="clear" w:color="auto" w:fill="auto"/>
        <w:tabs>
          <w:tab w:pos="1517" w:val="left"/>
        </w:tabs>
        <w:bidi w:val="0"/>
        <w:spacing w:before="0" w:line="286" w:lineRule="auto"/>
        <w:ind w:left="1460" w:right="0" w:hanging="340"/>
        <w:jc w:val="both"/>
      </w:pPr>
      <w:r>
        <w:rPr>
          <w:i/>
          <w:iCs/>
          <w:color w:val="000000"/>
          <w:spacing w:val="0"/>
          <w:w w:val="100"/>
          <w:position w:val="0"/>
          <w:shd w:val="clear" w:color="auto" w:fill="auto"/>
          <w:lang w:val="pt-PT" w:eastAsia="pt-PT" w:bidi="pt-PT"/>
        </w:rPr>
        <w:t>moratória de 15% (quinze por cento) por dia de atraso injustificado sobre o valor total do contrato, até o máximo de 30% (trinta por cento) pela inobservância do prazo fixado para apresentação, suplementação ou reposição da garantia.</w:t>
      </w:r>
    </w:p>
    <w:p>
      <w:pPr>
        <w:pStyle w:val="Style2"/>
        <w:keepNext w:val="0"/>
        <w:keepLines w:val="0"/>
        <w:widowControl w:val="0"/>
        <w:shd w:val="clear" w:color="auto" w:fill="auto"/>
        <w:bidi w:val="0"/>
        <w:spacing w:before="0" w:after="180"/>
        <w:ind w:left="1820" w:right="0" w:hanging="340"/>
        <w:jc w:val="both"/>
      </w:pPr>
      <w:r>
        <w:rPr>
          <w:i/>
          <w:iCs/>
          <w:color w:val="000000"/>
          <w:spacing w:val="0"/>
          <w:w w:val="100"/>
          <w:position w:val="0"/>
          <w:shd w:val="clear" w:color="auto" w:fill="auto"/>
          <w:lang w:val="pt-PT" w:eastAsia="pt-PT" w:bidi="pt-PT"/>
        </w:rPr>
        <w:t>(a) O atraso superior a 60 dias autoriza a Administração a promovera rescisão do contrato por descumprimento ou cumprimento irregular de suas cláusulas, conforme dispõe o inciso I do art. 137 da Lei n. 14.133, de 2021.</w:t>
      </w:r>
    </w:p>
    <w:p>
      <w:pPr>
        <w:pStyle w:val="Style2"/>
        <w:keepNext w:val="0"/>
        <w:keepLines w:val="0"/>
        <w:widowControl w:val="0"/>
        <w:numPr>
          <w:ilvl w:val="0"/>
          <w:numId w:val="17"/>
        </w:numPr>
        <w:shd w:val="clear" w:color="auto" w:fill="auto"/>
        <w:tabs>
          <w:tab w:pos="1541" w:val="left"/>
        </w:tabs>
        <w:bidi w:val="0"/>
        <w:spacing w:before="0" w:line="290" w:lineRule="auto"/>
        <w:ind w:left="1460" w:right="0" w:hanging="340"/>
        <w:jc w:val="both"/>
      </w:pPr>
      <w:r>
        <w:rPr>
          <w:color w:val="000000"/>
          <w:spacing w:val="0"/>
          <w:w w:val="100"/>
          <w:position w:val="0"/>
          <w:shd w:val="clear" w:color="auto" w:fill="auto"/>
          <w:lang w:val="pt-PT" w:eastAsia="pt-PT" w:bidi="pt-PT"/>
        </w:rPr>
        <w:t>compensatória de 30% (trinta por cento) sobre o valor total do contrato, no caso de inexecução total do objeto;</w:t>
      </w:r>
    </w:p>
    <w:p>
      <w:pPr>
        <w:pStyle w:val="Style2"/>
        <w:keepNext w:val="0"/>
        <w:keepLines w:val="0"/>
        <w:widowControl w:val="0"/>
        <w:numPr>
          <w:ilvl w:val="1"/>
          <w:numId w:val="1"/>
        </w:numPr>
        <w:shd w:val="clear" w:color="auto" w:fill="auto"/>
        <w:tabs>
          <w:tab w:pos="1208" w:val="left"/>
        </w:tabs>
        <w:bidi w:val="0"/>
        <w:spacing w:before="0" w:line="288" w:lineRule="auto"/>
        <w:ind w:left="460" w:right="0" w:firstLine="0"/>
        <w:jc w:val="both"/>
      </w:pPr>
      <w:r>
        <w:rPr>
          <w:color w:val="000000"/>
          <w:spacing w:val="0"/>
          <w:w w:val="100"/>
          <w:position w:val="0"/>
          <w:shd w:val="clear" w:color="auto" w:fill="auto"/>
          <w:lang w:val="pt-PT" w:eastAsia="pt-PT" w:bidi="pt-PT"/>
        </w:rPr>
        <w:t>Aaplicação das sanções previstas neste Contrato não exclui, em hipótese alguma, a obrigação de reparação integral do dano causado à Contratante (art. 156, §9°)</w:t>
      </w:r>
    </w:p>
    <w:p>
      <w:pPr>
        <w:pStyle w:val="Style2"/>
        <w:keepNext w:val="0"/>
        <w:keepLines w:val="0"/>
        <w:widowControl w:val="0"/>
        <w:numPr>
          <w:ilvl w:val="1"/>
          <w:numId w:val="1"/>
        </w:numPr>
        <w:shd w:val="clear" w:color="auto" w:fill="auto"/>
        <w:tabs>
          <w:tab w:pos="1203" w:val="left"/>
        </w:tabs>
        <w:bidi w:val="0"/>
        <w:spacing w:before="0" w:after="0"/>
        <w:ind w:left="440" w:right="0" w:firstLine="20"/>
        <w:jc w:val="both"/>
      </w:pPr>
      <w:r>
        <w:rPr>
          <w:color w:val="000000"/>
          <w:spacing w:val="0"/>
          <w:w w:val="100"/>
          <w:position w:val="0"/>
          <w:shd w:val="clear" w:color="auto" w:fill="auto"/>
          <w:lang w:val="pt-PT" w:eastAsia="pt-PT" w:bidi="pt-PT"/>
        </w:rPr>
        <w:t>Todas as sanções previstas neste Contrato poderão ser aplicadas cumulativamente com a multa (art. 156, §7°).</w:t>
      </w:r>
    </w:p>
    <w:p>
      <w:pPr>
        <w:pStyle w:val="Style2"/>
        <w:keepNext w:val="0"/>
        <w:keepLines w:val="0"/>
        <w:widowControl w:val="0"/>
        <w:numPr>
          <w:ilvl w:val="2"/>
          <w:numId w:val="1"/>
        </w:numPr>
        <w:shd w:val="clear" w:color="auto" w:fill="auto"/>
        <w:tabs>
          <w:tab w:pos="1913" w:val="left"/>
        </w:tabs>
        <w:bidi w:val="0"/>
        <w:spacing w:before="0" w:after="100"/>
        <w:ind w:left="1140" w:right="0" w:firstLine="0"/>
        <w:jc w:val="both"/>
      </w:pPr>
      <w:r>
        <w:rPr>
          <w:color w:val="000000"/>
          <w:spacing w:val="0"/>
          <w:w w:val="100"/>
          <w:position w:val="0"/>
          <w:shd w:val="clear" w:color="auto" w:fill="auto"/>
          <w:lang w:val="pt-PT" w:eastAsia="pt-PT" w:bidi="pt-PT"/>
        </w:rPr>
        <w:t>Antes da aplicação da multa será facultada a defesa do interessado no prazo de 15 (quinze) dias úteis, contado da data de sua intimação (art. 157)</w:t>
      </w:r>
    </w:p>
    <w:p>
      <w:pPr>
        <w:pStyle w:val="Style2"/>
        <w:keepNext w:val="0"/>
        <w:keepLines w:val="0"/>
        <w:widowControl w:val="0"/>
        <w:numPr>
          <w:ilvl w:val="2"/>
          <w:numId w:val="1"/>
        </w:numPr>
        <w:shd w:val="clear" w:color="auto" w:fill="auto"/>
        <w:tabs>
          <w:tab w:pos="1913" w:val="left"/>
        </w:tabs>
        <w:bidi w:val="0"/>
        <w:spacing w:before="0"/>
        <w:ind w:left="1140" w:right="0" w:firstLine="0"/>
        <w:jc w:val="both"/>
      </w:pPr>
      <w:r>
        <w:rPr>
          <w:color w:val="000000"/>
          <w:spacing w:val="0"/>
          <w:w w:val="100"/>
          <w:position w:val="0"/>
          <w:shd w:val="clear" w:color="auto" w:fill="auto"/>
          <w:lang w:val="pt-PT" w:eastAsia="pt-PT" w:bidi="pt-PT"/>
        </w:rPr>
        <w:t xml:space="preserve">Se a multa aplicada e as </w:t>
      </w:r>
      <w:r>
        <w:rPr>
          <w:color w:val="000000"/>
          <w:spacing w:val="0"/>
          <w:w w:val="100"/>
          <w:position w:val="0"/>
          <w:shd w:val="clear" w:color="auto" w:fill="auto"/>
          <w:lang w:val="pt-BR" w:eastAsia="pt-BR" w:bidi="pt-BR"/>
        </w:rPr>
        <w:t xml:space="preserve">indenizações </w:t>
      </w:r>
      <w:r>
        <w:rPr>
          <w:color w:val="000000"/>
          <w:spacing w:val="0"/>
          <w:w w:val="100"/>
          <w:position w:val="0"/>
          <w:shd w:val="clear" w:color="auto" w:fill="auto"/>
          <w:lang w:val="pt-PT" w:eastAsia="pt-PT" w:bidi="pt-PT"/>
        </w:rPr>
        <w:t xml:space="preserve">cabíveis forem superiores ao valor do pagamento eventualmente devido pelo Contratante ao Contratado, além da </w:t>
      </w:r>
      <w:r>
        <w:rPr>
          <w:color w:val="000000"/>
          <w:spacing w:val="0"/>
          <w:w w:val="100"/>
          <w:position w:val="0"/>
          <w:shd w:val="clear" w:color="auto" w:fill="auto"/>
          <w:lang w:val="pt-BR" w:eastAsia="pt-BR" w:bidi="pt-BR"/>
        </w:rPr>
        <w:t xml:space="preserve">perda </w:t>
      </w:r>
      <w:r>
        <w:rPr>
          <w:color w:val="000000"/>
          <w:spacing w:val="0"/>
          <w:w w:val="100"/>
          <w:position w:val="0"/>
          <w:shd w:val="clear" w:color="auto" w:fill="auto"/>
          <w:lang w:val="pt-PT" w:eastAsia="pt-PT" w:bidi="pt-PT"/>
        </w:rPr>
        <w:t>desse valor, a diferença será descontada da garantia prestada ou será cobrada judicialmente (art. 156, §8°).</w:t>
      </w:r>
    </w:p>
    <w:p>
      <w:pPr>
        <w:pStyle w:val="Style2"/>
        <w:keepNext w:val="0"/>
        <w:keepLines w:val="0"/>
        <w:widowControl w:val="0"/>
        <w:numPr>
          <w:ilvl w:val="2"/>
          <w:numId w:val="1"/>
        </w:numPr>
        <w:shd w:val="clear" w:color="auto" w:fill="auto"/>
        <w:tabs>
          <w:tab w:pos="1913" w:val="left"/>
        </w:tabs>
        <w:bidi w:val="0"/>
        <w:spacing w:before="0" w:after="100" w:line="286" w:lineRule="auto"/>
        <w:ind w:left="1140" w:right="0" w:firstLine="0"/>
        <w:jc w:val="both"/>
      </w:pPr>
      <w:r>
        <w:rPr>
          <w:color w:val="000000"/>
          <w:spacing w:val="0"/>
          <w:w w:val="100"/>
          <w:position w:val="0"/>
          <w:shd w:val="clear" w:color="auto" w:fill="auto"/>
          <w:lang w:val="pt-BR" w:eastAsia="pt-BR" w:bidi="pt-BR"/>
        </w:rPr>
        <w:t xml:space="preserve">Previamente </w:t>
      </w:r>
      <w:r>
        <w:rPr>
          <w:color w:val="000000"/>
          <w:spacing w:val="0"/>
          <w:w w:val="100"/>
          <w:position w:val="0"/>
          <w:shd w:val="clear" w:color="auto" w:fill="auto"/>
          <w:lang w:val="pt-PT" w:eastAsia="pt-PT" w:bidi="pt-PT"/>
        </w:rPr>
        <w:t xml:space="preserve">ao encaminhamento à cobrança judicial, a multa poderá ser recolhida administrativamente no prazo máximo de </w:t>
      </w:r>
      <w:r>
        <w:rPr>
          <w:i/>
          <w:iCs/>
          <w:color w:val="000000"/>
          <w:spacing w:val="0"/>
          <w:w w:val="100"/>
          <w:position w:val="0"/>
          <w:shd w:val="clear" w:color="auto" w:fill="auto"/>
          <w:lang w:val="pt-PT" w:eastAsia="pt-PT" w:bidi="pt-PT"/>
        </w:rPr>
        <w:t>10 (dez)</w:t>
      </w:r>
      <w:r>
        <w:rPr>
          <w:color w:val="000000"/>
          <w:spacing w:val="0"/>
          <w:w w:val="100"/>
          <w:position w:val="0"/>
          <w:shd w:val="clear" w:color="auto" w:fill="auto"/>
          <w:lang w:val="pt-PT" w:eastAsia="pt-PT" w:bidi="pt-PT"/>
        </w:rPr>
        <w:t xml:space="preserve"> dias, a contar da data do recebimento da comunicação enviada pela autoridade competente.</w:t>
      </w:r>
    </w:p>
    <w:p>
      <w:pPr>
        <w:pStyle w:val="Style2"/>
        <w:keepNext w:val="0"/>
        <w:keepLines w:val="0"/>
        <w:widowControl w:val="0"/>
        <w:numPr>
          <w:ilvl w:val="1"/>
          <w:numId w:val="1"/>
        </w:numPr>
        <w:shd w:val="clear" w:color="auto" w:fill="auto"/>
        <w:tabs>
          <w:tab w:pos="1007" w:val="left"/>
        </w:tabs>
        <w:bidi w:val="0"/>
        <w:spacing w:before="0"/>
        <w:ind w:left="940" w:right="0" w:hanging="480"/>
        <w:jc w:val="both"/>
      </w:pPr>
      <w:r>
        <w:rPr>
          <w:color w:val="000000"/>
          <w:spacing w:val="0"/>
          <w:w w:val="100"/>
          <w:position w:val="0"/>
          <w:shd w:val="clear" w:color="auto" w:fill="auto"/>
          <w:lang w:val="pt-PT" w:eastAsia="pt-PT" w:bidi="pt-PT"/>
        </w:rPr>
        <w:t xml:space="preserve">A aplicação das sanções realizar-se-á em processo administrativo que assegure o contraditório e a ampla defesa ao Contratado, </w:t>
      </w:r>
      <w:r>
        <w:rPr>
          <w:color w:val="000000"/>
          <w:spacing w:val="0"/>
          <w:w w:val="100"/>
          <w:position w:val="0"/>
          <w:shd w:val="clear" w:color="auto" w:fill="auto"/>
          <w:lang w:val="pt-BR" w:eastAsia="pt-BR" w:bidi="pt-BR"/>
        </w:rPr>
        <w:t xml:space="preserve">observando-se </w:t>
      </w:r>
      <w:r>
        <w:rPr>
          <w:color w:val="000000"/>
          <w:spacing w:val="0"/>
          <w:w w:val="100"/>
          <w:position w:val="0"/>
          <w:shd w:val="clear" w:color="auto" w:fill="auto"/>
          <w:lang w:val="pt-PT" w:eastAsia="pt-PT" w:bidi="pt-PT"/>
        </w:rPr>
        <w:t xml:space="preserve">o procedimento previsto no </w:t>
      </w:r>
      <w:r>
        <w:rPr>
          <w:b/>
          <w:bCs/>
          <w:color w:val="000000"/>
          <w:spacing w:val="0"/>
          <w:w w:val="100"/>
          <w:position w:val="0"/>
          <w:shd w:val="clear" w:color="auto" w:fill="auto"/>
          <w:lang w:val="pt-PT" w:eastAsia="pt-PT" w:bidi="pt-PT"/>
        </w:rPr>
        <w:t xml:space="preserve">caput </w:t>
      </w:r>
      <w:r>
        <w:rPr>
          <w:color w:val="000000"/>
          <w:spacing w:val="0"/>
          <w:w w:val="100"/>
          <w:position w:val="0"/>
          <w:shd w:val="clear" w:color="auto" w:fill="auto"/>
          <w:lang w:val="pt-PT" w:eastAsia="pt-PT" w:bidi="pt-PT"/>
        </w:rPr>
        <w:t>e parágrafos do art. 158 da Lei n° 14.133, de 2021, para as penalidades de impedimento de licitar e contratar e de declaração de inidoneidade para licitar ou contratar.</w:t>
      </w:r>
    </w:p>
    <w:p>
      <w:pPr>
        <w:pStyle w:val="Style2"/>
        <w:keepNext w:val="0"/>
        <w:keepLines w:val="0"/>
        <w:widowControl w:val="0"/>
        <w:numPr>
          <w:ilvl w:val="1"/>
          <w:numId w:val="1"/>
        </w:numPr>
        <w:shd w:val="clear" w:color="auto" w:fill="auto"/>
        <w:tabs>
          <w:tab w:pos="1007" w:val="left"/>
        </w:tabs>
        <w:bidi w:val="0"/>
        <w:spacing w:before="0" w:after="100"/>
        <w:ind w:left="440" w:right="0" w:firstLine="20"/>
        <w:jc w:val="both"/>
      </w:pPr>
      <w:r>
        <w:rPr>
          <w:color w:val="000000"/>
          <w:spacing w:val="0"/>
          <w:w w:val="100"/>
          <w:position w:val="0"/>
          <w:shd w:val="clear" w:color="auto" w:fill="auto"/>
          <w:lang w:val="pt-PT" w:eastAsia="pt-PT" w:bidi="pt-PT"/>
        </w:rPr>
        <w:t>Na aplicação das sanções serão considerados (art. 156, §1°):</w:t>
      </w:r>
    </w:p>
    <w:p>
      <w:pPr>
        <w:pStyle w:val="Style2"/>
        <w:keepNext w:val="0"/>
        <w:keepLines w:val="0"/>
        <w:widowControl w:val="0"/>
        <w:numPr>
          <w:ilvl w:val="0"/>
          <w:numId w:val="19"/>
        </w:numPr>
        <w:shd w:val="clear" w:color="auto" w:fill="auto"/>
        <w:tabs>
          <w:tab w:pos="1498" w:val="left"/>
        </w:tabs>
        <w:bidi w:val="0"/>
        <w:spacing w:before="0" w:after="0" w:line="276" w:lineRule="auto"/>
        <w:ind w:left="1500" w:right="0" w:hanging="360"/>
        <w:jc w:val="both"/>
      </w:pPr>
      <w:r>
        <w:rPr>
          <w:color w:val="000000"/>
          <w:spacing w:val="0"/>
          <w:w w:val="100"/>
          <w:position w:val="0"/>
          <w:shd w:val="clear" w:color="auto" w:fill="auto"/>
          <w:lang w:val="pt-PT" w:eastAsia="pt-PT" w:bidi="pt-PT"/>
        </w:rPr>
        <w:t>a natureza e a gravidade da infração cometida;</w:t>
      </w:r>
    </w:p>
    <w:p>
      <w:pPr>
        <w:pStyle w:val="Style2"/>
        <w:keepNext w:val="0"/>
        <w:keepLines w:val="0"/>
        <w:widowControl w:val="0"/>
        <w:numPr>
          <w:ilvl w:val="0"/>
          <w:numId w:val="19"/>
        </w:numPr>
        <w:shd w:val="clear" w:color="auto" w:fill="auto"/>
        <w:tabs>
          <w:tab w:pos="1498" w:val="left"/>
        </w:tabs>
        <w:bidi w:val="0"/>
        <w:spacing w:before="0" w:after="0" w:line="276" w:lineRule="auto"/>
        <w:ind w:left="1500" w:right="0" w:hanging="360"/>
        <w:jc w:val="both"/>
      </w:pPr>
      <w:r>
        <w:rPr>
          <w:color w:val="000000"/>
          <w:spacing w:val="0"/>
          <w:w w:val="100"/>
          <w:position w:val="0"/>
          <w:shd w:val="clear" w:color="auto" w:fill="auto"/>
          <w:lang w:val="pt-PT" w:eastAsia="pt-PT" w:bidi="pt-PT"/>
        </w:rPr>
        <w:t>as peculiaridades do caso concreto;</w:t>
      </w:r>
    </w:p>
    <w:p>
      <w:pPr>
        <w:pStyle w:val="Style2"/>
        <w:keepNext w:val="0"/>
        <w:keepLines w:val="0"/>
        <w:widowControl w:val="0"/>
        <w:numPr>
          <w:ilvl w:val="0"/>
          <w:numId w:val="19"/>
        </w:numPr>
        <w:shd w:val="clear" w:color="auto" w:fill="auto"/>
        <w:tabs>
          <w:tab w:pos="1498" w:val="left"/>
        </w:tabs>
        <w:bidi w:val="0"/>
        <w:spacing w:before="0" w:after="0" w:line="276" w:lineRule="auto"/>
        <w:ind w:left="1500" w:right="0" w:hanging="360"/>
        <w:jc w:val="both"/>
      </w:pPr>
      <w:r>
        <w:rPr>
          <w:color w:val="000000"/>
          <w:spacing w:val="0"/>
          <w:w w:val="100"/>
          <w:position w:val="0"/>
          <w:shd w:val="clear" w:color="auto" w:fill="auto"/>
          <w:lang w:val="pt-PT" w:eastAsia="pt-PT" w:bidi="pt-PT"/>
        </w:rPr>
        <w:t>as circunstâncias agravantes ou atenuantes;</w:t>
      </w:r>
    </w:p>
    <w:p>
      <w:pPr>
        <w:pStyle w:val="Style2"/>
        <w:keepNext w:val="0"/>
        <w:keepLines w:val="0"/>
        <w:widowControl w:val="0"/>
        <w:numPr>
          <w:ilvl w:val="0"/>
          <w:numId w:val="19"/>
        </w:numPr>
        <w:shd w:val="clear" w:color="auto" w:fill="auto"/>
        <w:tabs>
          <w:tab w:pos="1498" w:val="left"/>
        </w:tabs>
        <w:bidi w:val="0"/>
        <w:spacing w:before="0" w:after="0" w:line="276" w:lineRule="auto"/>
        <w:ind w:left="1500" w:right="0" w:hanging="360"/>
        <w:jc w:val="both"/>
      </w:pPr>
      <w:r>
        <w:rPr>
          <w:color w:val="000000"/>
          <w:spacing w:val="0"/>
          <w:w w:val="100"/>
          <w:position w:val="0"/>
          <w:shd w:val="clear" w:color="auto" w:fill="auto"/>
          <w:lang w:val="pt-PT" w:eastAsia="pt-PT" w:bidi="pt-PT"/>
        </w:rPr>
        <w:t>os danos que dela provierem para o Contratante;</w:t>
      </w:r>
    </w:p>
    <w:p>
      <w:pPr>
        <w:pStyle w:val="Style2"/>
        <w:keepNext w:val="0"/>
        <w:keepLines w:val="0"/>
        <w:widowControl w:val="0"/>
        <w:numPr>
          <w:ilvl w:val="0"/>
          <w:numId w:val="19"/>
        </w:numPr>
        <w:shd w:val="clear" w:color="auto" w:fill="auto"/>
        <w:tabs>
          <w:tab w:pos="1498" w:val="left"/>
        </w:tabs>
        <w:bidi w:val="0"/>
        <w:spacing w:before="0" w:line="276" w:lineRule="auto"/>
        <w:ind w:left="1500" w:right="0" w:hanging="360"/>
        <w:jc w:val="both"/>
      </w:pPr>
      <w:r>
        <w:rPr>
          <w:color w:val="000000"/>
          <w:spacing w:val="0"/>
          <w:w w:val="100"/>
          <w:position w:val="0"/>
          <w:shd w:val="clear" w:color="auto" w:fill="auto"/>
          <w:lang w:val="pt-PT" w:eastAsia="pt-PT" w:bidi="pt-PT"/>
        </w:rPr>
        <w:t>a implantação ou o aperfeiçoamento de programa de integridade, conforme normas e orientações dos órgãos de controle.</w:t>
      </w:r>
    </w:p>
    <w:p>
      <w:pPr>
        <w:pStyle w:val="Style2"/>
        <w:keepNext w:val="0"/>
        <w:keepLines w:val="0"/>
        <w:widowControl w:val="0"/>
        <w:numPr>
          <w:ilvl w:val="1"/>
          <w:numId w:val="1"/>
        </w:numPr>
        <w:shd w:val="clear" w:color="auto" w:fill="auto"/>
        <w:tabs>
          <w:tab w:pos="1203" w:val="left"/>
        </w:tabs>
        <w:bidi w:val="0"/>
        <w:spacing w:before="0" w:after="100" w:line="286" w:lineRule="auto"/>
        <w:ind w:left="440" w:right="0" w:firstLine="20"/>
        <w:jc w:val="both"/>
      </w:pPr>
      <w:r>
        <w:rPr>
          <w:color w:val="000000"/>
          <w:spacing w:val="0"/>
          <w:w w:val="100"/>
          <w:position w:val="0"/>
          <w:shd w:val="clear" w:color="auto" w:fill="auto"/>
          <w:lang w:val="pt-PT" w:eastAsia="pt-PT" w:bidi="pt-PT"/>
        </w:rPr>
        <w:t>Os atos previstos como infrações administrativas na Lei n° 14.133, de 2021, ou em outras leis de licitações e contratos da Administração Pública que também sejam tipificados como atos lesivos na Lei n° 12.846, de 2013, serão apurados e julgados conjuntamente, nos mesmos autos, observados o rito procedimental e autoridade competente definidos na referida Lei (art. 159)</w:t>
      </w:r>
    </w:p>
    <w:p>
      <w:pPr>
        <w:pStyle w:val="Style2"/>
        <w:keepNext w:val="0"/>
        <w:keepLines w:val="0"/>
        <w:widowControl w:val="0"/>
        <w:numPr>
          <w:ilvl w:val="1"/>
          <w:numId w:val="1"/>
        </w:numPr>
        <w:shd w:val="clear" w:color="auto" w:fill="auto"/>
        <w:tabs>
          <w:tab w:pos="1203" w:val="left"/>
        </w:tabs>
        <w:bidi w:val="0"/>
        <w:spacing w:before="0" w:after="100" w:line="286" w:lineRule="auto"/>
        <w:ind w:left="440" w:right="0" w:firstLine="20"/>
        <w:jc w:val="both"/>
      </w:pPr>
      <w:r>
        <w:rPr>
          <w:color w:val="000000"/>
          <w:spacing w:val="0"/>
          <w:w w:val="100"/>
          <w:position w:val="0"/>
          <w:shd w:val="clear" w:color="auto" w:fill="auto"/>
          <w:lang w:val="pt-PT" w:eastAsia="pt-PT" w:bidi="pt-PT"/>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pPr>
        <w:pStyle w:val="Style2"/>
        <w:keepNext w:val="0"/>
        <w:keepLines w:val="0"/>
        <w:widowControl w:val="0"/>
        <w:numPr>
          <w:ilvl w:val="1"/>
          <w:numId w:val="1"/>
        </w:numPr>
        <w:shd w:val="clear" w:color="auto" w:fill="auto"/>
        <w:tabs>
          <w:tab w:pos="1203" w:val="left"/>
        </w:tabs>
        <w:bidi w:val="0"/>
        <w:spacing w:before="0"/>
        <w:ind w:left="440" w:right="0" w:firstLine="20"/>
        <w:jc w:val="both"/>
      </w:pPr>
      <w:r>
        <w:rPr>
          <w:color w:val="000000"/>
          <w:spacing w:val="0"/>
          <w:w w:val="100"/>
          <w:position w:val="0"/>
          <w:shd w:val="clear" w:color="auto" w:fill="auto"/>
          <w:lang w:val="pt-PT" w:eastAsia="pt-PT" w:bidi="pt-PT"/>
        </w:rPr>
        <w:t xml:space="preserve">O Contratante deverá, no prazo máximo 15 (quinze) dias úteis, contado da data de aplicação da sanção, informar e manter atualizados os dados relativos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 xml:space="preserve">sanções por ela aplicadas, para fins de publicidade no Cadastro Nacional de Empresas </w:t>
      </w:r>
      <w:r>
        <w:rPr>
          <w:color w:val="000000"/>
          <w:spacing w:val="0"/>
          <w:w w:val="100"/>
          <w:position w:val="0"/>
          <w:shd w:val="clear" w:color="auto" w:fill="auto"/>
          <w:lang w:val="pt-BR" w:eastAsia="pt-BR" w:bidi="pt-BR"/>
        </w:rPr>
        <w:t xml:space="preserve">Inidôneas </w:t>
      </w:r>
      <w:r>
        <w:rPr>
          <w:color w:val="000000"/>
          <w:spacing w:val="0"/>
          <w:w w:val="100"/>
          <w:position w:val="0"/>
          <w:shd w:val="clear" w:color="auto" w:fill="auto"/>
          <w:lang w:val="pt-PT" w:eastAsia="pt-PT" w:bidi="pt-PT"/>
        </w:rPr>
        <w:t>e Suspensas (Ceis) e no Cadastro Nacional de Empresas Punidas (Cnep), instituídos no âmbito do Poder Executivo Federal. (Art. 161)</w:t>
      </w:r>
    </w:p>
    <w:p>
      <w:pPr>
        <w:pStyle w:val="Style2"/>
        <w:keepNext w:val="0"/>
        <w:keepLines w:val="0"/>
        <w:widowControl w:val="0"/>
        <w:numPr>
          <w:ilvl w:val="1"/>
          <w:numId w:val="1"/>
        </w:numPr>
        <w:shd w:val="clear" w:color="auto" w:fill="auto"/>
        <w:tabs>
          <w:tab w:pos="1203" w:val="left"/>
        </w:tabs>
        <w:bidi w:val="0"/>
        <w:spacing w:before="0" w:after="260" w:line="276" w:lineRule="auto"/>
        <w:ind w:left="440" w:right="0" w:firstLine="20"/>
        <w:jc w:val="both"/>
      </w:pPr>
      <w:r>
        <w:rPr>
          <w:color w:val="000000"/>
          <w:spacing w:val="0"/>
          <w:w w:val="100"/>
          <w:position w:val="0"/>
          <w:shd w:val="clear" w:color="auto" w:fill="auto"/>
          <w:lang w:val="pt-PT" w:eastAsia="pt-PT" w:bidi="pt-PT"/>
        </w:rPr>
        <w:t>As sanções de impedimento de licitar e contratar e declaração de inidoneidade para licitar ou contratar são passíveis de reabilitação na forma do art. 163 da Lei n° 14.133/21.</w:t>
      </w:r>
    </w:p>
    <w:p>
      <w:pPr>
        <w:pStyle w:val="Style16"/>
        <w:keepNext/>
        <w:keepLines/>
        <w:widowControl w:val="0"/>
        <w:numPr>
          <w:ilvl w:val="0"/>
          <w:numId w:val="1"/>
        </w:numPr>
        <w:shd w:val="clear" w:color="auto" w:fill="auto"/>
        <w:tabs>
          <w:tab w:pos="394" w:val="left"/>
        </w:tabs>
        <w:bidi w:val="0"/>
        <w:spacing w:before="0" w:after="80"/>
        <w:ind w:left="0" w:right="0" w:firstLine="0"/>
        <w:jc w:val="left"/>
      </w:pPr>
      <w:bookmarkStart w:id="12" w:name="bookmark12"/>
      <w:r>
        <w:rPr>
          <w:color w:val="000000"/>
          <w:spacing w:val="0"/>
          <w:w w:val="100"/>
          <w:position w:val="0"/>
          <w:shd w:val="clear" w:color="auto" w:fill="auto"/>
          <w:lang w:val="pt-PT" w:eastAsia="pt-PT" w:bidi="pt-PT"/>
        </w:rPr>
        <w:t>CLÁUSULA DÉCIMA SEGUNDA - DA EXTINÇÃO CONTRATUAL (art. 92, XIX)</w:t>
      </w:r>
      <w:bookmarkEnd w:id="12"/>
    </w:p>
    <w:p>
      <w:pPr>
        <w:pStyle w:val="Style2"/>
        <w:keepNext w:val="0"/>
        <w:keepLines w:val="0"/>
        <w:widowControl w:val="0"/>
        <w:numPr>
          <w:ilvl w:val="1"/>
          <w:numId w:val="1"/>
        </w:numPr>
        <w:shd w:val="clear" w:color="auto" w:fill="auto"/>
        <w:tabs>
          <w:tab w:pos="987" w:val="left"/>
        </w:tabs>
        <w:bidi w:val="0"/>
        <w:spacing w:before="0" w:line="290" w:lineRule="auto"/>
        <w:ind w:left="440" w:right="0" w:firstLine="20"/>
        <w:jc w:val="both"/>
      </w:pPr>
      <w:r>
        <w:rPr>
          <w:color w:val="000000"/>
          <w:spacing w:val="0"/>
          <w:w w:val="100"/>
          <w:position w:val="0"/>
          <w:shd w:val="clear" w:color="auto" w:fill="auto"/>
          <w:lang w:val="pt-PT" w:eastAsia="pt-PT" w:bidi="pt-PT"/>
        </w:rPr>
        <w:t xml:space="preserve">O </w:t>
      </w:r>
      <w:r>
        <w:rPr>
          <w:i/>
          <w:iCs/>
          <w:color w:val="000000"/>
          <w:spacing w:val="0"/>
          <w:w w:val="100"/>
          <w:position w:val="0"/>
          <w:shd w:val="clear" w:color="auto" w:fill="auto"/>
          <w:lang w:val="pt-PT" w:eastAsia="pt-PT" w:bidi="pt-PT"/>
        </w:rPr>
        <w:t>contrato se extingue quando cumpridas as obrigações de ambas as partes, ainda que isso ocorra antes do prazo estipulado para tanto.</w:t>
      </w:r>
    </w:p>
    <w:p>
      <w:pPr>
        <w:pStyle w:val="Style2"/>
        <w:keepNext w:val="0"/>
        <w:keepLines w:val="0"/>
        <w:widowControl w:val="0"/>
        <w:numPr>
          <w:ilvl w:val="1"/>
          <w:numId w:val="1"/>
        </w:numPr>
        <w:shd w:val="clear" w:color="auto" w:fill="auto"/>
        <w:tabs>
          <w:tab w:pos="987" w:val="left"/>
        </w:tabs>
        <w:bidi w:val="0"/>
        <w:spacing w:before="0"/>
        <w:ind w:left="440" w:right="0" w:firstLine="20"/>
        <w:jc w:val="both"/>
      </w:pPr>
      <w:r>
        <w:rPr>
          <w:color w:val="000000"/>
          <w:spacing w:val="0"/>
          <w:w w:val="100"/>
          <w:position w:val="0"/>
          <w:shd w:val="clear" w:color="auto" w:fill="auto"/>
          <w:lang w:val="pt-PT" w:eastAsia="pt-PT" w:bidi="pt-PT"/>
        </w:rPr>
        <w:t xml:space="preserve">Se </w:t>
      </w:r>
      <w:r>
        <w:rPr>
          <w:i/>
          <w:iCs/>
          <w:color w:val="000000"/>
          <w:spacing w:val="0"/>
          <w:w w:val="100"/>
          <w:position w:val="0"/>
          <w:shd w:val="clear" w:color="auto" w:fill="auto"/>
          <w:lang w:val="pt-PT" w:eastAsia="pt-PT" w:bidi="pt-PT"/>
        </w:rPr>
        <w:t>as obrigações não forem cumpridas no prazo estipulado, a vigência ficará prorrogada até a conclusão do objeto, caso em que deverá a Administração providenciara readequação do cronograma físico-financeiro.</w:t>
      </w:r>
    </w:p>
    <w:p>
      <w:pPr>
        <w:pStyle w:val="Style2"/>
        <w:keepNext w:val="0"/>
        <w:keepLines w:val="0"/>
        <w:widowControl w:val="0"/>
        <w:numPr>
          <w:ilvl w:val="2"/>
          <w:numId w:val="1"/>
        </w:numPr>
        <w:shd w:val="clear" w:color="auto" w:fill="auto"/>
        <w:tabs>
          <w:tab w:pos="1934" w:val="left"/>
        </w:tabs>
        <w:bidi w:val="0"/>
        <w:spacing w:before="0"/>
        <w:ind w:left="1160" w:right="0" w:firstLine="0"/>
        <w:jc w:val="both"/>
      </w:pPr>
      <w:r>
        <w:rPr>
          <w:i/>
          <w:iCs/>
          <w:color w:val="000000"/>
          <w:spacing w:val="0"/>
          <w:w w:val="100"/>
          <w:position w:val="0"/>
          <w:shd w:val="clear" w:color="auto" w:fill="auto"/>
          <w:lang w:val="pt-PT" w:eastAsia="pt-PT" w:bidi="pt-PT"/>
        </w:rPr>
        <w:t>Quando a não conclusão do contrato referida no item anterior decorrer de culpa do contratado:</w:t>
      </w:r>
    </w:p>
    <w:p>
      <w:pPr>
        <w:pStyle w:val="Style2"/>
        <w:keepNext w:val="0"/>
        <w:keepLines w:val="0"/>
        <w:widowControl w:val="0"/>
        <w:numPr>
          <w:ilvl w:val="0"/>
          <w:numId w:val="21"/>
        </w:numPr>
        <w:shd w:val="clear" w:color="auto" w:fill="auto"/>
        <w:tabs>
          <w:tab w:pos="1998" w:val="left"/>
        </w:tabs>
        <w:bidi w:val="0"/>
        <w:spacing w:before="0" w:after="0"/>
        <w:ind w:left="2000" w:right="0" w:hanging="360"/>
        <w:jc w:val="left"/>
      </w:pPr>
      <w:r>
        <w:rPr>
          <w:i/>
          <w:iCs/>
          <w:color w:val="000000"/>
          <w:spacing w:val="0"/>
          <w:w w:val="100"/>
          <w:position w:val="0"/>
          <w:shd w:val="clear" w:color="auto" w:fill="auto"/>
          <w:lang w:val="pt-PT" w:eastAsia="pt-PT" w:bidi="pt-PT"/>
        </w:rPr>
        <w:t xml:space="preserve">ficará ele constituído em mora, sendo-lhe aplicáveis as </w:t>
      </w:r>
      <w:r>
        <w:rPr>
          <w:i/>
          <w:iCs/>
          <w:color w:val="000000"/>
          <w:spacing w:val="0"/>
          <w:w w:val="100"/>
          <w:position w:val="0"/>
          <w:shd w:val="clear" w:color="auto" w:fill="auto"/>
          <w:lang w:val="pt-BR" w:eastAsia="pt-BR" w:bidi="pt-BR"/>
        </w:rPr>
        <w:t xml:space="preserve">respectivas </w:t>
      </w:r>
      <w:r>
        <w:rPr>
          <w:i/>
          <w:iCs/>
          <w:color w:val="000000"/>
          <w:spacing w:val="0"/>
          <w:w w:val="100"/>
          <w:position w:val="0"/>
          <w:shd w:val="clear" w:color="auto" w:fill="auto"/>
          <w:lang w:val="pt-PT" w:eastAsia="pt-PT" w:bidi="pt-PT"/>
        </w:rPr>
        <w:t>sanções administrativas; e</w:t>
      </w:r>
    </w:p>
    <w:p>
      <w:pPr>
        <w:pStyle w:val="Style2"/>
        <w:keepNext w:val="0"/>
        <w:keepLines w:val="0"/>
        <w:widowControl w:val="0"/>
        <w:numPr>
          <w:ilvl w:val="0"/>
          <w:numId w:val="21"/>
        </w:numPr>
        <w:shd w:val="clear" w:color="auto" w:fill="auto"/>
        <w:tabs>
          <w:tab w:pos="2003" w:val="left"/>
        </w:tabs>
        <w:bidi w:val="0"/>
        <w:spacing w:before="0"/>
        <w:ind w:left="2000" w:right="0" w:hanging="360"/>
        <w:jc w:val="left"/>
      </w:pPr>
      <w:r>
        <w:rPr>
          <w:i/>
          <w:iCs/>
          <w:color w:val="000000"/>
          <w:spacing w:val="0"/>
          <w:w w:val="100"/>
          <w:position w:val="0"/>
          <w:shd w:val="clear" w:color="auto" w:fill="auto"/>
          <w:lang w:val="pt-PT" w:eastAsia="pt-PT" w:bidi="pt-PT"/>
        </w:rPr>
        <w:t>poderá a Administração optar pela extinção do contrato e, nesse caso, adotará as medidas admitidas em lei para a continuidade da execução contratual.</w:t>
      </w:r>
    </w:p>
    <w:p>
      <w:pPr>
        <w:pStyle w:val="Style2"/>
        <w:keepNext w:val="0"/>
        <w:keepLines w:val="0"/>
        <w:widowControl w:val="0"/>
        <w:shd w:val="clear" w:color="auto" w:fill="auto"/>
        <w:bidi w:val="0"/>
        <w:spacing w:before="0"/>
        <w:ind w:left="440" w:right="0" w:firstLine="20"/>
        <w:jc w:val="both"/>
      </w:pPr>
      <w:r>
        <w:rPr>
          <w:color w:val="000000"/>
          <w:spacing w:val="0"/>
          <w:w w:val="100"/>
          <w:position w:val="0"/>
          <w:shd w:val="clear" w:color="auto" w:fill="auto"/>
          <w:lang w:val="pt-PT" w:eastAsia="pt-PT" w:bidi="pt-PT"/>
        </w:rPr>
        <w:t>12.1.0 contrato pode ser extinto antes de cumpridas as obrigações nele estipuladas, ou antes do prazo nele fixado, por algum dos motivos previstos no artigo 137 da NLLC, bem como amigavelmente, assegurados o contraditório e a ampla defesa.</w:t>
      </w:r>
    </w:p>
    <w:p>
      <w:pPr>
        <w:pStyle w:val="Style2"/>
        <w:keepNext w:val="0"/>
        <w:keepLines w:val="0"/>
        <w:widowControl w:val="0"/>
        <w:numPr>
          <w:ilvl w:val="0"/>
          <w:numId w:val="23"/>
        </w:numPr>
        <w:shd w:val="clear" w:color="auto" w:fill="auto"/>
        <w:tabs>
          <w:tab w:pos="1929" w:val="left"/>
        </w:tabs>
        <w:bidi w:val="0"/>
        <w:spacing w:before="0"/>
        <w:ind w:left="1160" w:right="0" w:firstLine="0"/>
        <w:jc w:val="both"/>
      </w:pPr>
      <w:r>
        <w:rPr>
          <w:color w:val="000000"/>
          <w:spacing w:val="0"/>
          <w:w w:val="100"/>
          <w:position w:val="0"/>
          <w:shd w:val="clear" w:color="auto" w:fill="auto"/>
          <w:lang w:val="pt-PT" w:eastAsia="pt-PT" w:bidi="pt-PT"/>
        </w:rPr>
        <w:t>Nesta hipótese, aplicam-se também os artigos 138 e 139 da mesma Lei.</w:t>
      </w:r>
    </w:p>
    <w:p>
      <w:pPr>
        <w:pStyle w:val="Style2"/>
        <w:keepNext w:val="0"/>
        <w:keepLines w:val="0"/>
        <w:widowControl w:val="0"/>
        <w:numPr>
          <w:ilvl w:val="0"/>
          <w:numId w:val="25"/>
        </w:numPr>
        <w:shd w:val="clear" w:color="auto" w:fill="auto"/>
        <w:tabs>
          <w:tab w:pos="1929" w:val="left"/>
        </w:tabs>
        <w:bidi w:val="0"/>
        <w:spacing w:before="0"/>
        <w:ind w:left="1160" w:right="0" w:firstLine="0"/>
        <w:jc w:val="both"/>
      </w:pPr>
      <w:r>
        <w:rPr>
          <w:color w:val="000000"/>
          <w:spacing w:val="0"/>
          <w:w w:val="100"/>
          <w:position w:val="0"/>
          <w:shd w:val="clear" w:color="auto" w:fill="auto"/>
          <w:lang w:val="pt-PT" w:eastAsia="pt-PT" w:bidi="pt-PT"/>
        </w:rPr>
        <w:t>A alteração social ou modificação da finalidade ou da estrutura da empresa não ensejará rescisão se não restringir sua capacidade de concluir o contrato.</w:t>
      </w:r>
    </w:p>
    <w:p>
      <w:pPr>
        <w:pStyle w:val="Style2"/>
        <w:keepNext w:val="0"/>
        <w:keepLines w:val="0"/>
        <w:widowControl w:val="0"/>
        <w:numPr>
          <w:ilvl w:val="0"/>
          <w:numId w:val="27"/>
        </w:numPr>
        <w:shd w:val="clear" w:color="auto" w:fill="auto"/>
        <w:tabs>
          <w:tab w:pos="2682" w:val="left"/>
        </w:tabs>
        <w:bidi w:val="0"/>
        <w:spacing w:before="0"/>
        <w:ind w:left="1740" w:right="0" w:firstLine="0"/>
        <w:jc w:val="both"/>
      </w:pPr>
      <w:r>
        <w:rPr>
          <w:color w:val="000000"/>
          <w:spacing w:val="0"/>
          <w:w w:val="100"/>
          <w:position w:val="0"/>
          <w:shd w:val="clear" w:color="auto" w:fill="auto"/>
          <w:lang w:val="pt-PT" w:eastAsia="pt-PT" w:bidi="pt-PT"/>
        </w:rPr>
        <w:t>Se a operação implicar mudança da pessoa jurídica contratada, deverá ser formalizado termo aditivo para alteração subjetiva.</w:t>
      </w:r>
    </w:p>
    <w:p>
      <w:pPr>
        <w:pStyle w:val="Style2"/>
        <w:keepNext w:val="0"/>
        <w:keepLines w:val="0"/>
        <w:widowControl w:val="0"/>
        <w:numPr>
          <w:ilvl w:val="0"/>
          <w:numId w:val="29"/>
        </w:numPr>
        <w:shd w:val="clear" w:color="auto" w:fill="auto"/>
        <w:tabs>
          <w:tab w:pos="1067" w:val="left"/>
        </w:tabs>
        <w:bidi w:val="0"/>
        <w:spacing w:before="0" w:after="500"/>
        <w:ind w:left="440" w:right="0" w:firstLine="20"/>
        <w:jc w:val="both"/>
      </w:pPr>
      <w:r>
        <w:rPr>
          <w:color w:val="000000"/>
          <w:spacing w:val="0"/>
          <w:w w:val="100"/>
          <w:position w:val="0"/>
          <w:shd w:val="clear" w:color="auto" w:fill="auto"/>
          <w:lang w:val="pt-PT" w:eastAsia="pt-PT" w:bidi="pt-PT"/>
        </w:rPr>
        <w:t>O termo de rescisão, sempre que possível, será precedido:</w:t>
      </w:r>
    </w:p>
    <w:p>
      <w:pPr>
        <w:pStyle w:val="Style2"/>
        <w:keepNext w:val="0"/>
        <w:keepLines w:val="0"/>
        <w:widowControl w:val="0"/>
        <w:numPr>
          <w:ilvl w:val="0"/>
          <w:numId w:val="31"/>
        </w:numPr>
        <w:shd w:val="clear" w:color="auto" w:fill="auto"/>
        <w:tabs>
          <w:tab w:pos="1929" w:val="left"/>
        </w:tabs>
        <w:bidi w:val="0"/>
        <w:spacing w:before="0" w:line="286" w:lineRule="auto"/>
        <w:ind w:left="1160" w:right="0" w:firstLine="0"/>
        <w:jc w:val="both"/>
      </w:pPr>
      <w:r>
        <w:rPr>
          <w:color w:val="000000"/>
          <w:spacing w:val="0"/>
          <w:w w:val="100"/>
          <w:position w:val="0"/>
          <w:shd w:val="clear" w:color="auto" w:fill="auto"/>
          <w:lang w:val="pt-PT" w:eastAsia="pt-PT" w:bidi="pt-PT"/>
        </w:rPr>
        <w:t>Balanço dos eventos contratuais já cumpridos ou parcialmente cumpridos;</w:t>
      </w:r>
    </w:p>
    <w:p>
      <w:pPr>
        <w:pStyle w:val="Style2"/>
        <w:keepNext w:val="0"/>
        <w:keepLines w:val="0"/>
        <w:widowControl w:val="0"/>
        <w:numPr>
          <w:ilvl w:val="0"/>
          <w:numId w:val="31"/>
        </w:numPr>
        <w:shd w:val="clear" w:color="auto" w:fill="auto"/>
        <w:tabs>
          <w:tab w:pos="1929" w:val="left"/>
        </w:tabs>
        <w:bidi w:val="0"/>
        <w:spacing w:before="0" w:line="286" w:lineRule="auto"/>
        <w:ind w:left="1160" w:right="0" w:firstLine="0"/>
        <w:jc w:val="both"/>
      </w:pPr>
      <w:r>
        <w:rPr>
          <w:color w:val="000000"/>
          <w:spacing w:val="0"/>
          <w:w w:val="100"/>
          <w:position w:val="0"/>
          <w:shd w:val="clear" w:color="auto" w:fill="auto"/>
          <w:lang w:val="pt-PT" w:eastAsia="pt-PT" w:bidi="pt-PT"/>
        </w:rPr>
        <w:t>Relação dos pagamentos já efetuados e ainda devidos;</w:t>
      </w:r>
    </w:p>
    <w:p>
      <w:pPr>
        <w:pStyle w:val="Style2"/>
        <w:keepNext w:val="0"/>
        <w:keepLines w:val="0"/>
        <w:widowControl w:val="0"/>
        <w:numPr>
          <w:ilvl w:val="0"/>
          <w:numId w:val="31"/>
        </w:numPr>
        <w:shd w:val="clear" w:color="auto" w:fill="auto"/>
        <w:tabs>
          <w:tab w:pos="1929" w:val="left"/>
        </w:tabs>
        <w:bidi w:val="0"/>
        <w:spacing w:before="0" w:after="240" w:line="286" w:lineRule="auto"/>
        <w:ind w:left="1160" w:right="0" w:firstLine="0"/>
        <w:jc w:val="both"/>
      </w:pPr>
      <w:r>
        <w:rPr>
          <w:color w:val="000000"/>
          <w:spacing w:val="0"/>
          <w:w w:val="100"/>
          <w:position w:val="0"/>
          <w:shd w:val="clear" w:color="auto" w:fill="auto"/>
          <w:lang w:val="pt-BR" w:eastAsia="pt-BR" w:bidi="pt-BR"/>
        </w:rPr>
        <w:t xml:space="preserve">Indenizações </w:t>
      </w:r>
      <w:r>
        <w:rPr>
          <w:color w:val="000000"/>
          <w:spacing w:val="0"/>
          <w:w w:val="100"/>
          <w:position w:val="0"/>
          <w:shd w:val="clear" w:color="auto" w:fill="auto"/>
          <w:lang w:val="pt-PT" w:eastAsia="pt-PT" w:bidi="pt-PT"/>
        </w:rPr>
        <w:t>e multas.</w:t>
      </w:r>
    </w:p>
    <w:p>
      <w:pPr>
        <w:pStyle w:val="Style16"/>
        <w:keepNext/>
        <w:keepLines/>
        <w:widowControl w:val="0"/>
        <w:numPr>
          <w:ilvl w:val="0"/>
          <w:numId w:val="1"/>
        </w:numPr>
        <w:shd w:val="clear" w:color="auto" w:fill="auto"/>
        <w:tabs>
          <w:tab w:pos="454" w:val="left"/>
        </w:tabs>
        <w:bidi w:val="0"/>
        <w:spacing w:before="0" w:after="80" w:line="286" w:lineRule="auto"/>
        <w:ind w:left="0" w:right="0" w:firstLine="0"/>
        <w:jc w:val="left"/>
      </w:pPr>
      <w:bookmarkStart w:id="13" w:name="bookmark13"/>
      <w:r>
        <w:rPr>
          <w:color w:val="000000"/>
          <w:spacing w:val="0"/>
          <w:w w:val="100"/>
          <w:position w:val="0"/>
          <w:shd w:val="clear" w:color="auto" w:fill="auto"/>
          <w:lang w:val="pt-PT" w:eastAsia="pt-PT" w:bidi="pt-PT"/>
        </w:rPr>
        <w:t xml:space="preserve">CLÁUSULA DÉCIMA TERCEIRA - DOTAÇÃO </w:t>
      </w:r>
      <w:r>
        <w:rPr>
          <w:color w:val="000000"/>
          <w:spacing w:val="0"/>
          <w:w w:val="100"/>
          <w:position w:val="0"/>
          <w:shd w:val="clear" w:color="auto" w:fill="auto"/>
          <w:lang w:val="pt-BR" w:eastAsia="pt-BR" w:bidi="pt-BR"/>
        </w:rPr>
        <w:t xml:space="preserve">ORÇAMENTÁRIA </w:t>
      </w:r>
      <w:r>
        <w:rPr>
          <w:color w:val="000000"/>
          <w:spacing w:val="0"/>
          <w:w w:val="100"/>
          <w:position w:val="0"/>
          <w:shd w:val="clear" w:color="auto" w:fill="auto"/>
          <w:lang w:val="pt-PT" w:eastAsia="pt-PT" w:bidi="pt-PT"/>
        </w:rPr>
        <w:t>(arf. 92, VIII)</w:t>
      </w:r>
      <w:bookmarkEnd w:id="13"/>
    </w:p>
    <w:p>
      <w:pPr>
        <w:pStyle w:val="Style2"/>
        <w:keepNext w:val="0"/>
        <w:keepLines w:val="0"/>
        <w:widowControl w:val="0"/>
        <w:numPr>
          <w:ilvl w:val="1"/>
          <w:numId w:val="1"/>
        </w:numPr>
        <w:shd w:val="clear" w:color="auto" w:fill="auto"/>
        <w:tabs>
          <w:tab w:pos="1051" w:val="left"/>
        </w:tabs>
        <w:bidi w:val="0"/>
        <w:spacing w:before="0" w:line="276" w:lineRule="auto"/>
        <w:ind w:left="440" w:right="0" w:firstLine="20"/>
        <w:jc w:val="both"/>
      </w:pPr>
      <w:r>
        <w:rPr>
          <w:color w:val="000000"/>
          <w:spacing w:val="0"/>
          <w:w w:val="100"/>
          <w:position w:val="0"/>
          <w:shd w:val="clear" w:color="auto" w:fill="auto"/>
          <w:lang w:val="pt-PT" w:eastAsia="pt-PT" w:bidi="pt-PT"/>
        </w:rPr>
        <w:t>As despesas decorrentes da presente contratação correrão à conta de recursos específicos consignados no Orçamento Geral da União deste exercício, na dotação abaixo discriminada:</w:t>
      </w:r>
    </w:p>
    <w:p>
      <w:pPr>
        <w:pStyle w:val="Style2"/>
        <w:keepNext w:val="0"/>
        <w:keepLines w:val="0"/>
        <w:widowControl w:val="0"/>
        <w:numPr>
          <w:ilvl w:val="0"/>
          <w:numId w:val="33"/>
        </w:numPr>
        <w:shd w:val="clear" w:color="auto" w:fill="auto"/>
        <w:tabs>
          <w:tab w:pos="633" w:val="left"/>
        </w:tabs>
        <w:bidi w:val="0"/>
        <w:spacing w:before="0" w:after="80" w:line="286" w:lineRule="auto"/>
        <w:ind w:left="360" w:right="0" w:firstLine="20"/>
        <w:jc w:val="left"/>
      </w:pPr>
      <w:r>
        <w:rPr>
          <w:b/>
          <w:bCs/>
          <w:color w:val="000000"/>
          <w:spacing w:val="0"/>
          <w:w w:val="100"/>
          <w:position w:val="0"/>
          <w:shd w:val="clear" w:color="auto" w:fill="auto"/>
          <w:lang w:val="pt-PT" w:eastAsia="pt-PT" w:bidi="pt-PT"/>
        </w:rPr>
        <w:t xml:space="preserve">UNIDADE </w:t>
      </w:r>
      <w:r>
        <w:rPr>
          <w:b/>
          <w:bCs/>
          <w:color w:val="000000"/>
          <w:spacing w:val="0"/>
          <w:w w:val="100"/>
          <w:position w:val="0"/>
          <w:shd w:val="clear" w:color="auto" w:fill="auto"/>
          <w:lang w:val="pt-BR" w:eastAsia="pt-BR" w:bidi="pt-BR"/>
        </w:rPr>
        <w:t xml:space="preserve">ORÇAMENTÁRIA: </w:t>
      </w:r>
      <w:r>
        <w:rPr>
          <w:color w:val="000000"/>
          <w:spacing w:val="0"/>
          <w:w w:val="100"/>
          <w:position w:val="0"/>
          <w:shd w:val="clear" w:color="auto" w:fill="auto"/>
          <w:lang w:val="pt-PT" w:eastAsia="pt-PT" w:bidi="pt-PT"/>
        </w:rPr>
        <w:t>02.04.01 - Secretaria Municipal de Finanças</w:t>
      </w:r>
    </w:p>
    <w:p>
      <w:pPr>
        <w:pStyle w:val="Style2"/>
        <w:keepNext w:val="0"/>
        <w:keepLines w:val="0"/>
        <w:widowControl w:val="0"/>
        <w:numPr>
          <w:ilvl w:val="0"/>
          <w:numId w:val="33"/>
        </w:numPr>
        <w:shd w:val="clear" w:color="auto" w:fill="auto"/>
        <w:tabs>
          <w:tab w:pos="633" w:val="left"/>
        </w:tabs>
        <w:bidi w:val="0"/>
        <w:spacing w:before="0" w:after="80" w:line="286" w:lineRule="auto"/>
        <w:ind w:left="360" w:right="0" w:firstLine="20"/>
        <w:jc w:val="left"/>
      </w:pPr>
      <w:r>
        <w:rPr>
          <w:b/>
          <w:bCs/>
          <w:color w:val="000000"/>
          <w:spacing w:val="0"/>
          <w:w w:val="100"/>
          <w:position w:val="0"/>
          <w:shd w:val="clear" w:color="auto" w:fill="auto"/>
          <w:lang w:val="pt-PT" w:eastAsia="pt-PT" w:bidi="pt-PT"/>
        </w:rPr>
        <w:t xml:space="preserve">PROJETO/ATIVIDADE: </w:t>
      </w:r>
      <w:r>
        <w:rPr>
          <w:color w:val="000000"/>
          <w:spacing w:val="0"/>
          <w:w w:val="100"/>
          <w:position w:val="0"/>
          <w:shd w:val="clear" w:color="auto" w:fill="auto"/>
          <w:lang w:val="pt-PT" w:eastAsia="pt-PT" w:bidi="pt-PT"/>
        </w:rPr>
        <w:t>04.123.0011.2010.0000 - Manutenção da Secretaria de Finanças</w:t>
      </w:r>
    </w:p>
    <w:p>
      <w:pPr>
        <w:pStyle w:val="Style2"/>
        <w:keepNext w:val="0"/>
        <w:keepLines w:val="0"/>
        <w:widowControl w:val="0"/>
        <w:shd w:val="clear" w:color="auto" w:fill="auto"/>
        <w:bidi w:val="0"/>
        <w:spacing w:before="0" w:after="80" w:line="286" w:lineRule="auto"/>
        <w:ind w:left="580" w:right="0" w:firstLine="0"/>
        <w:jc w:val="left"/>
      </w:pPr>
      <w:r>
        <w:rPr>
          <w:b/>
          <w:bCs/>
          <w:color w:val="000000"/>
          <w:spacing w:val="0"/>
          <w:w w:val="100"/>
          <w:position w:val="0"/>
          <w:shd w:val="clear" w:color="auto" w:fill="auto"/>
          <w:lang w:val="pt-PT" w:eastAsia="pt-PT" w:bidi="pt-PT"/>
        </w:rPr>
        <w:t xml:space="preserve">ELEMENTO DE DESPESA: </w:t>
      </w:r>
      <w:r>
        <w:rPr>
          <w:color w:val="000000"/>
          <w:spacing w:val="0"/>
          <w:w w:val="100"/>
          <w:position w:val="0"/>
          <w:shd w:val="clear" w:color="auto" w:fill="auto"/>
          <w:lang w:val="pt-PT" w:eastAsia="pt-PT" w:bidi="pt-PT"/>
        </w:rPr>
        <w:t>3.3.90.39.00 - Outros Serviços de Terceiros - Pessoa Jurídica</w:t>
      </w:r>
    </w:p>
    <w:p>
      <w:pPr>
        <w:pStyle w:val="Style2"/>
        <w:keepNext w:val="0"/>
        <w:keepLines w:val="0"/>
        <w:widowControl w:val="0"/>
        <w:numPr>
          <w:ilvl w:val="0"/>
          <w:numId w:val="33"/>
        </w:numPr>
        <w:shd w:val="clear" w:color="auto" w:fill="auto"/>
        <w:tabs>
          <w:tab w:pos="633" w:val="left"/>
        </w:tabs>
        <w:bidi w:val="0"/>
        <w:spacing w:before="0" w:after="40" w:line="286" w:lineRule="auto"/>
        <w:ind w:left="360" w:right="0" w:firstLine="20"/>
        <w:jc w:val="left"/>
      </w:pPr>
      <w:r>
        <w:rPr>
          <w:b/>
          <w:bCs/>
          <w:color w:val="000000"/>
          <w:spacing w:val="0"/>
          <w:w w:val="100"/>
          <w:position w:val="0"/>
          <w:shd w:val="clear" w:color="auto" w:fill="auto"/>
          <w:lang w:val="pt-PT" w:eastAsia="pt-PT" w:bidi="pt-PT"/>
        </w:rPr>
        <w:t xml:space="preserve">FONTE: </w:t>
      </w:r>
      <w:r>
        <w:rPr>
          <w:color w:val="000000"/>
          <w:spacing w:val="0"/>
          <w:w w:val="100"/>
          <w:position w:val="0"/>
          <w:shd w:val="clear" w:color="auto" w:fill="auto"/>
          <w:lang w:val="pt-PT" w:eastAsia="pt-PT" w:bidi="pt-PT"/>
        </w:rPr>
        <w:t>1.500 - Recurso próprio.</w:t>
      </w:r>
    </w:p>
    <w:p>
      <w:pPr>
        <w:pStyle w:val="Style2"/>
        <w:keepNext w:val="0"/>
        <w:keepLines w:val="0"/>
        <w:widowControl w:val="0"/>
        <w:numPr>
          <w:ilvl w:val="1"/>
          <w:numId w:val="1"/>
        </w:numPr>
        <w:shd w:val="clear" w:color="auto" w:fill="auto"/>
        <w:tabs>
          <w:tab w:pos="1047" w:val="left"/>
        </w:tabs>
        <w:bidi w:val="0"/>
        <w:spacing w:before="0" w:after="220" w:line="288" w:lineRule="auto"/>
        <w:ind w:left="440" w:right="0" w:firstLine="20"/>
        <w:jc w:val="both"/>
      </w:pPr>
      <w:r>
        <w:rPr>
          <w:i/>
          <w:iCs/>
          <w:color w:val="000000"/>
          <w:spacing w:val="0"/>
          <w:w w:val="100"/>
          <w:position w:val="0"/>
          <w:shd w:val="clear" w:color="auto" w:fill="auto"/>
          <w:lang w:val="pt-PT" w:eastAsia="pt-PT" w:bidi="pt-PT"/>
        </w:rPr>
        <w:t xml:space="preserve">A dotação relativa aos exercícios financeiros subsequentes será indicada após aprovação da Lei </w:t>
      </w:r>
      <w:r>
        <w:rPr>
          <w:i/>
          <w:iCs/>
          <w:color w:val="000000"/>
          <w:spacing w:val="0"/>
          <w:w w:val="100"/>
          <w:position w:val="0"/>
          <w:shd w:val="clear" w:color="auto" w:fill="auto"/>
          <w:lang w:val="pt-BR" w:eastAsia="pt-BR" w:bidi="pt-BR"/>
        </w:rPr>
        <w:t xml:space="preserve">Orçamentária respectiva </w:t>
      </w:r>
      <w:r>
        <w:rPr>
          <w:i/>
          <w:iCs/>
          <w:color w:val="000000"/>
          <w:spacing w:val="0"/>
          <w:w w:val="100"/>
          <w:position w:val="0"/>
          <w:shd w:val="clear" w:color="auto" w:fill="auto"/>
          <w:lang w:val="pt-PT" w:eastAsia="pt-PT" w:bidi="pt-PT"/>
        </w:rPr>
        <w:t>e liberação dos créditos correspondentes, mediante apostilamento.</w:t>
      </w:r>
    </w:p>
    <w:p>
      <w:pPr>
        <w:pStyle w:val="Style16"/>
        <w:keepNext/>
        <w:keepLines/>
        <w:widowControl w:val="0"/>
        <w:numPr>
          <w:ilvl w:val="0"/>
          <w:numId w:val="1"/>
        </w:numPr>
        <w:shd w:val="clear" w:color="auto" w:fill="auto"/>
        <w:tabs>
          <w:tab w:pos="454" w:val="left"/>
        </w:tabs>
        <w:bidi w:val="0"/>
        <w:spacing w:before="0" w:after="80" w:line="286" w:lineRule="auto"/>
        <w:ind w:left="0" w:right="0" w:firstLine="0"/>
        <w:jc w:val="left"/>
      </w:pPr>
      <w:bookmarkStart w:id="14" w:name="bookmark14"/>
      <w:r>
        <w:rPr>
          <w:color w:val="000000"/>
          <w:spacing w:val="0"/>
          <w:w w:val="100"/>
          <w:position w:val="0"/>
          <w:shd w:val="clear" w:color="auto" w:fill="auto"/>
          <w:lang w:val="pt-PT" w:eastAsia="pt-PT" w:bidi="pt-PT"/>
        </w:rPr>
        <w:t>CLÁUSULA DÉCIMA QUARTA - DOS CASOS OMISSOS (art. 92, III)</w:t>
      </w:r>
      <w:bookmarkEnd w:id="14"/>
    </w:p>
    <w:p>
      <w:pPr>
        <w:pStyle w:val="Style2"/>
        <w:keepNext w:val="0"/>
        <w:keepLines w:val="0"/>
        <w:widowControl w:val="0"/>
        <w:numPr>
          <w:ilvl w:val="1"/>
          <w:numId w:val="1"/>
        </w:numPr>
        <w:shd w:val="clear" w:color="auto" w:fill="auto"/>
        <w:tabs>
          <w:tab w:pos="1051" w:val="left"/>
        </w:tabs>
        <w:bidi w:val="0"/>
        <w:spacing w:before="0" w:after="240" w:line="286" w:lineRule="auto"/>
        <w:ind w:left="440" w:right="0" w:firstLine="20"/>
        <w:jc w:val="both"/>
      </w:pPr>
      <w:r>
        <w:rPr>
          <w:color w:val="000000"/>
          <w:spacing w:val="0"/>
          <w:w w:val="100"/>
          <w:position w:val="0"/>
          <w:shd w:val="clear" w:color="auto" w:fill="auto"/>
          <w:lang w:val="pt-PT" w:eastAsia="pt-PT" w:bidi="pt-PT"/>
        </w:rPr>
        <w:t>Os casos omissos serão decididos pelo CONTRATANTE, segundo as disposições contidas na Lei n° 14.133, de 2021 e demais normas federais aplicáveis e, subsidiariamente, segundo as disposições contidas na Lei n° 8.078, de 1990 - Código de Defesa do Consumidor - e normas e princípios gerais dos contratos.</w:t>
      </w:r>
    </w:p>
    <w:p>
      <w:pPr>
        <w:pStyle w:val="Style16"/>
        <w:keepNext/>
        <w:keepLines/>
        <w:widowControl w:val="0"/>
        <w:numPr>
          <w:ilvl w:val="0"/>
          <w:numId w:val="1"/>
        </w:numPr>
        <w:shd w:val="clear" w:color="auto" w:fill="auto"/>
        <w:tabs>
          <w:tab w:pos="454" w:val="left"/>
        </w:tabs>
        <w:bidi w:val="0"/>
        <w:spacing w:before="0" w:after="80" w:line="286" w:lineRule="auto"/>
        <w:ind w:left="0" w:right="0" w:firstLine="0"/>
        <w:jc w:val="left"/>
      </w:pPr>
      <w:bookmarkStart w:id="15" w:name="bookmark15"/>
      <w:r>
        <w:rPr>
          <w:color w:val="000000"/>
          <w:spacing w:val="0"/>
          <w:w w:val="100"/>
          <w:position w:val="0"/>
          <w:shd w:val="clear" w:color="auto" w:fill="auto"/>
          <w:lang w:val="pt-PT" w:eastAsia="pt-PT" w:bidi="pt-PT"/>
        </w:rPr>
        <w:t>CLÁUSULA DÉCIMA QUINTA - ALTERAÇÕES</w:t>
      </w:r>
      <w:bookmarkEnd w:id="15"/>
    </w:p>
    <w:p>
      <w:pPr>
        <w:pStyle w:val="Style2"/>
        <w:keepNext w:val="0"/>
        <w:keepLines w:val="0"/>
        <w:widowControl w:val="0"/>
        <w:numPr>
          <w:ilvl w:val="1"/>
          <w:numId w:val="1"/>
        </w:numPr>
        <w:shd w:val="clear" w:color="auto" w:fill="auto"/>
        <w:tabs>
          <w:tab w:pos="1067" w:val="left"/>
        </w:tabs>
        <w:bidi w:val="0"/>
        <w:spacing w:before="0" w:after="40" w:line="286" w:lineRule="auto"/>
        <w:ind w:left="440" w:right="0" w:firstLine="20"/>
        <w:jc w:val="both"/>
      </w:pPr>
      <w:r>
        <w:rPr>
          <w:color w:val="000000"/>
          <w:spacing w:val="0"/>
          <w:w w:val="100"/>
          <w:position w:val="0"/>
          <w:shd w:val="clear" w:color="auto" w:fill="auto"/>
          <w:lang w:val="pt-PT" w:eastAsia="pt-PT" w:bidi="pt-PT"/>
        </w:rPr>
        <w:t>Eventuais alterações contratuais reger-se-ão pela disciplina dos arts. 124 e seguintes da Lei n°</w:t>
      </w:r>
    </w:p>
    <w:p>
      <w:pPr>
        <w:pStyle w:val="Style2"/>
        <w:keepNext w:val="0"/>
        <w:keepLines w:val="0"/>
        <w:widowControl w:val="0"/>
        <w:shd w:val="clear" w:color="auto" w:fill="auto"/>
        <w:bidi w:val="0"/>
        <w:spacing w:before="0" w:line="286" w:lineRule="auto"/>
        <w:ind w:left="440" w:right="0" w:firstLine="20"/>
        <w:jc w:val="both"/>
      </w:pPr>
      <w:r>
        <w:rPr>
          <w:color w:val="000000"/>
          <w:spacing w:val="0"/>
          <w:w w:val="100"/>
          <w:position w:val="0"/>
          <w:shd w:val="clear" w:color="auto" w:fill="auto"/>
          <w:lang w:val="pt-PT" w:eastAsia="pt-PT" w:bidi="pt-PT"/>
        </w:rPr>
        <w:t>14.133, de 2021.</w:t>
      </w:r>
    </w:p>
    <w:p>
      <w:pPr>
        <w:pStyle w:val="Style2"/>
        <w:keepNext w:val="0"/>
        <w:keepLines w:val="0"/>
        <w:widowControl w:val="0"/>
        <w:numPr>
          <w:ilvl w:val="1"/>
          <w:numId w:val="1"/>
        </w:numPr>
        <w:shd w:val="clear" w:color="auto" w:fill="auto"/>
        <w:tabs>
          <w:tab w:pos="1051" w:val="left"/>
        </w:tabs>
        <w:bidi w:val="0"/>
        <w:spacing w:before="0" w:line="286" w:lineRule="auto"/>
        <w:ind w:left="440" w:right="0" w:firstLine="20"/>
        <w:jc w:val="both"/>
      </w:pPr>
      <w:r>
        <w:rPr>
          <w:color w:val="000000"/>
          <w:spacing w:val="0"/>
          <w:w w:val="100"/>
          <w:position w:val="0"/>
          <w:shd w:val="clear" w:color="auto" w:fill="auto"/>
          <w:lang w:val="pt-PT" w:eastAsia="pt-PT" w:bidi="pt-PT"/>
        </w:rPr>
        <w:t>O CONTRATADO é obrigada a aceitar, nas mesmas condições contratuais, os acréscimos ou supressões que se fizerem necessários, até o limite de 25% (vinte e cinco por cento) do valor inicial atualizado do contrato.</w:t>
      </w:r>
      <w:r>
        <w:br w:type="page"/>
      </w:r>
    </w:p>
    <w:p>
      <w:pPr>
        <w:pStyle w:val="Style2"/>
        <w:keepNext w:val="0"/>
        <w:keepLines w:val="0"/>
        <w:widowControl w:val="0"/>
        <w:numPr>
          <w:ilvl w:val="1"/>
          <w:numId w:val="1"/>
        </w:numPr>
        <w:shd w:val="clear" w:color="auto" w:fill="auto"/>
        <w:tabs>
          <w:tab w:pos="1067" w:val="left"/>
        </w:tabs>
        <w:bidi w:val="0"/>
        <w:spacing w:before="0" w:after="100"/>
        <w:ind w:left="460" w:right="0" w:firstLine="0"/>
        <w:jc w:val="both"/>
      </w:pPr>
      <w:r>
        <w:rPr>
          <w:color w:val="000000"/>
          <w:spacing w:val="0"/>
          <w:w w:val="100"/>
          <w:position w:val="0"/>
          <w:shd w:val="clear" w:color="auto" w:fill="auto"/>
          <w:lang w:val="pt-PT" w:eastAsia="pt-PT" w:bidi="pt-PT"/>
        </w:rPr>
        <w:t>As supressões resultantes de acordo celebrado entre as partes contratantes poderão exceder o limite de 25% (vinte e cinco por cento) do valor inicial atualizado do termo de contrato.</w:t>
      </w:r>
    </w:p>
    <w:p>
      <w:pPr>
        <w:pStyle w:val="Style2"/>
        <w:keepNext w:val="0"/>
        <w:keepLines w:val="0"/>
        <w:widowControl w:val="0"/>
        <w:numPr>
          <w:ilvl w:val="1"/>
          <w:numId w:val="1"/>
        </w:numPr>
        <w:shd w:val="clear" w:color="auto" w:fill="auto"/>
        <w:tabs>
          <w:tab w:pos="1071" w:val="left"/>
        </w:tabs>
        <w:bidi w:val="0"/>
        <w:spacing w:before="0" w:after="240"/>
        <w:ind w:left="460" w:right="0" w:firstLine="0"/>
        <w:jc w:val="both"/>
      </w:pPr>
      <w:r>
        <w:rPr>
          <w:color w:val="000000"/>
          <w:spacing w:val="0"/>
          <w:w w:val="100"/>
          <w:position w:val="0"/>
          <w:shd w:val="clear" w:color="auto" w:fill="auto"/>
          <w:lang w:val="pt-PT" w:eastAsia="pt-PT" w:bidi="pt-PT"/>
        </w:rPr>
        <w:t xml:space="preserve">Registros que não </w:t>
      </w:r>
      <w:r>
        <w:rPr>
          <w:color w:val="000000"/>
          <w:spacing w:val="0"/>
          <w:w w:val="100"/>
          <w:position w:val="0"/>
          <w:shd w:val="clear" w:color="auto" w:fill="auto"/>
          <w:lang w:val="pt-BR" w:eastAsia="pt-BR" w:bidi="pt-BR"/>
        </w:rPr>
        <w:t xml:space="preserve">caracterizam </w:t>
      </w:r>
      <w:r>
        <w:rPr>
          <w:color w:val="000000"/>
          <w:spacing w:val="0"/>
          <w:w w:val="100"/>
          <w:position w:val="0"/>
          <w:shd w:val="clear" w:color="auto" w:fill="auto"/>
          <w:lang w:val="pt-PT" w:eastAsia="pt-PT" w:bidi="pt-PT"/>
        </w:rPr>
        <w:t>alteração do contrato podem ser realizados por simples apostila, dispensada a celebração de termo aditivo, na forma do art. 136 da Lei n° 14.133, de 2021.</w:t>
      </w:r>
    </w:p>
    <w:p>
      <w:pPr>
        <w:pStyle w:val="Style16"/>
        <w:keepNext/>
        <w:keepLines/>
        <w:widowControl w:val="0"/>
        <w:numPr>
          <w:ilvl w:val="0"/>
          <w:numId w:val="1"/>
        </w:numPr>
        <w:shd w:val="clear" w:color="auto" w:fill="auto"/>
        <w:tabs>
          <w:tab w:pos="454" w:val="left"/>
        </w:tabs>
        <w:bidi w:val="0"/>
        <w:spacing w:before="0"/>
        <w:ind w:left="0" w:right="0" w:firstLine="0"/>
        <w:jc w:val="left"/>
      </w:pPr>
      <w:bookmarkStart w:id="16" w:name="bookmark16"/>
      <w:r>
        <w:rPr>
          <w:color w:val="000000"/>
          <w:spacing w:val="0"/>
          <w:w w:val="100"/>
          <w:position w:val="0"/>
          <w:shd w:val="clear" w:color="auto" w:fill="auto"/>
          <w:lang w:val="pt-PT" w:eastAsia="pt-PT" w:bidi="pt-PT"/>
        </w:rPr>
        <w:t>CLÁUSULA DÉCIMA SEXTA - PUBLICAÇÃO</w:t>
      </w:r>
      <w:bookmarkEnd w:id="16"/>
    </w:p>
    <w:p>
      <w:pPr>
        <w:pStyle w:val="Style2"/>
        <w:keepNext w:val="0"/>
        <w:keepLines w:val="0"/>
        <w:widowControl w:val="0"/>
        <w:numPr>
          <w:ilvl w:val="1"/>
          <w:numId w:val="1"/>
        </w:numPr>
        <w:shd w:val="clear" w:color="auto" w:fill="auto"/>
        <w:tabs>
          <w:tab w:pos="1067" w:val="left"/>
        </w:tabs>
        <w:bidi w:val="0"/>
        <w:spacing w:before="0" w:after="240"/>
        <w:ind w:left="460" w:right="0" w:firstLine="0"/>
        <w:jc w:val="both"/>
      </w:pPr>
      <w:r>
        <w:rPr>
          <w:color w:val="000000"/>
          <w:spacing w:val="0"/>
          <w:w w:val="100"/>
          <w:position w:val="0"/>
          <w:shd w:val="clear" w:color="auto" w:fill="auto"/>
          <w:lang w:val="pt-PT" w:eastAsia="pt-PT" w:bidi="pt-PT"/>
        </w:rPr>
        <w:t>Incumbirá à CONTRATANTE providenciar a publicação deste instrumento nos termos e condições previstas na Lei n° 14.133/21.</w:t>
      </w:r>
    </w:p>
    <w:p>
      <w:pPr>
        <w:pStyle w:val="Style16"/>
        <w:keepNext/>
        <w:keepLines/>
        <w:widowControl w:val="0"/>
        <w:numPr>
          <w:ilvl w:val="0"/>
          <w:numId w:val="1"/>
        </w:numPr>
        <w:shd w:val="clear" w:color="auto" w:fill="auto"/>
        <w:tabs>
          <w:tab w:pos="454" w:val="left"/>
        </w:tabs>
        <w:bidi w:val="0"/>
        <w:spacing w:before="0"/>
        <w:ind w:left="0" w:right="0" w:firstLine="0"/>
        <w:jc w:val="left"/>
      </w:pPr>
      <w:bookmarkStart w:id="17" w:name="bookmark17"/>
      <w:r>
        <w:rPr>
          <w:color w:val="000000"/>
          <w:spacing w:val="0"/>
          <w:w w:val="100"/>
          <w:position w:val="0"/>
          <w:shd w:val="clear" w:color="auto" w:fill="auto"/>
          <w:lang w:val="pt-PT" w:eastAsia="pt-PT" w:bidi="pt-PT"/>
        </w:rPr>
        <w:t>CLÁUSULA DÉCIMA SÉTIMA - FORO (art. 92, §1°)</w:t>
      </w:r>
      <w:bookmarkEnd w:id="17"/>
    </w:p>
    <w:p>
      <w:pPr>
        <w:pStyle w:val="Style2"/>
        <w:keepNext w:val="0"/>
        <w:keepLines w:val="0"/>
        <w:widowControl w:val="0"/>
        <w:numPr>
          <w:ilvl w:val="1"/>
          <w:numId w:val="1"/>
        </w:numPr>
        <w:shd w:val="clear" w:color="auto" w:fill="auto"/>
        <w:tabs>
          <w:tab w:pos="1067" w:val="left"/>
        </w:tabs>
        <w:bidi w:val="0"/>
        <w:spacing w:before="0" w:after="600"/>
        <w:ind w:left="460" w:right="0" w:firstLine="0"/>
        <w:jc w:val="both"/>
      </w:pPr>
      <w:r>
        <w:rPr>
          <w:color w:val="000000"/>
          <w:spacing w:val="0"/>
          <w:w w:val="100"/>
          <w:position w:val="0"/>
          <w:shd w:val="clear" w:color="auto" w:fill="auto"/>
          <w:lang w:val="pt-PT" w:eastAsia="pt-PT" w:bidi="pt-PT"/>
        </w:rPr>
        <w:t>É eleita a Comarca de Beruri, para dirimir os litígios que decorrerem da execução deste Termo de Contrato que não possam ser compostos pela conciliação, conforme art. 92, §1° da Lei n° 14.133/21.</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Beruri/AM, 27 de fevereiro de 2026.</w:t>
      </w:r>
    </w:p>
    <w:p>
      <w:pPr>
        <w:widowControl w:val="0"/>
        <w:spacing w:line="1" w:lineRule="exact"/>
      </w:pPr>
      <w:r>
        <mc:AlternateContent>
          <mc:Choice Requires="wps">
            <w:drawing>
              <wp:anchor distT="78105" distB="5715" distL="0" distR="0" simplePos="0" relativeHeight="125829378" behindDoc="0" locked="0" layoutInCell="1" allowOverlap="1">
                <wp:simplePos x="0" y="0"/>
                <wp:positionH relativeFrom="page">
                  <wp:posOffset>2415540</wp:posOffset>
                </wp:positionH>
                <wp:positionV relativeFrom="paragraph">
                  <wp:posOffset>78105</wp:posOffset>
                </wp:positionV>
                <wp:extent cx="1397635" cy="592455"/>
                <wp:wrapTopAndBottom/>
                <wp:docPr id="1" name="Shape 1"/>
                <a:graphic xmlns:a="http://schemas.openxmlformats.org/drawingml/2006/main">
                  <a:graphicData uri="http://schemas.microsoft.com/office/word/2010/wordprocessingShape">
                    <wps:wsp>
                      <wps:cNvSpPr txBox="1"/>
                      <wps:spPr>
                        <a:xfrm>
                          <a:ext cx="1397635" cy="592455"/>
                        </a:xfrm>
                        <a:prstGeom prst="rect"/>
                        <a:noFill/>
                      </wps:spPr>
                      <wps:txbx>
                        <w:txbxContent>
                          <w:p>
                            <w:pPr>
                              <w:pStyle w:val="Style2"/>
                              <w:keepNext w:val="0"/>
                              <w:keepLines w:val="0"/>
                              <w:widowControl w:val="0"/>
                              <w:shd w:val="clear" w:color="auto" w:fill="auto"/>
                              <w:bidi w:val="0"/>
                              <w:spacing w:before="0" w:after="0" w:line="310" w:lineRule="auto"/>
                              <w:ind w:left="0" w:right="0" w:firstLine="0"/>
                              <w:jc w:val="left"/>
                              <w:rPr>
                                <w:sz w:val="20"/>
                                <w:szCs w:val="20"/>
                              </w:rPr>
                            </w:pPr>
                            <w:r>
                              <w:rPr>
                                <w:color w:val="000000"/>
                                <w:spacing w:val="0"/>
                                <w:w w:val="100"/>
                                <w:position w:val="0"/>
                                <w:sz w:val="20"/>
                                <w:szCs w:val="20"/>
                                <w:shd w:val="clear" w:color="auto" w:fill="auto"/>
                                <w:lang w:val="pt-PT" w:eastAsia="pt-PT" w:bidi="pt-PT"/>
                              </w:rPr>
                              <w:t>EMERSON KLINGER</w:t>
                            </w:r>
                          </w:p>
                          <w:p>
                            <w:pPr>
                              <w:pStyle w:val="Style2"/>
                              <w:keepNext w:val="0"/>
                              <w:keepLines w:val="0"/>
                              <w:widowControl w:val="0"/>
                              <w:shd w:val="clear" w:color="auto" w:fill="auto"/>
                              <w:bidi w:val="0"/>
                              <w:spacing w:before="0" w:after="0" w:line="310" w:lineRule="auto"/>
                              <w:ind w:left="0" w:right="0" w:firstLine="0"/>
                              <w:jc w:val="left"/>
                              <w:rPr>
                                <w:sz w:val="20"/>
                                <w:szCs w:val="20"/>
                              </w:rPr>
                            </w:pPr>
                            <w:r>
                              <w:rPr>
                                <w:color w:val="000000"/>
                                <w:spacing w:val="0"/>
                                <w:w w:val="100"/>
                                <w:position w:val="0"/>
                                <w:sz w:val="20"/>
                                <w:szCs w:val="20"/>
                                <w:shd w:val="clear" w:color="auto" w:fill="auto"/>
                                <w:lang w:val="pt-PT" w:eastAsia="pt-PT" w:bidi="pt-PT"/>
                              </w:rPr>
                              <w:t>GONÇALVES DE MELLO:88028267220</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190.19999999999999pt;margin-top:6.1500000000000004pt;width:110.05pt;height:46.649999999999999pt;z-index:-125829375;mso-wrap-distance-left:0;mso-wrap-distance-top:6.1500000000000004pt;mso-wrap-distance-right:0;mso-wrap-distance-bottom:0.45000000000000001pt;mso-position-horizontal-relative:page" filled="f" stroked="f">
                <v:textbox inset="0,0,0,0">
                  <w:txbxContent>
                    <w:p>
                      <w:pPr>
                        <w:pStyle w:val="Style2"/>
                        <w:keepNext w:val="0"/>
                        <w:keepLines w:val="0"/>
                        <w:widowControl w:val="0"/>
                        <w:shd w:val="clear" w:color="auto" w:fill="auto"/>
                        <w:bidi w:val="0"/>
                        <w:spacing w:before="0" w:after="0" w:line="310" w:lineRule="auto"/>
                        <w:ind w:left="0" w:right="0" w:firstLine="0"/>
                        <w:jc w:val="left"/>
                        <w:rPr>
                          <w:sz w:val="20"/>
                          <w:szCs w:val="20"/>
                        </w:rPr>
                      </w:pPr>
                      <w:r>
                        <w:rPr>
                          <w:color w:val="000000"/>
                          <w:spacing w:val="0"/>
                          <w:w w:val="100"/>
                          <w:position w:val="0"/>
                          <w:sz w:val="20"/>
                          <w:szCs w:val="20"/>
                          <w:shd w:val="clear" w:color="auto" w:fill="auto"/>
                          <w:lang w:val="pt-PT" w:eastAsia="pt-PT" w:bidi="pt-PT"/>
                        </w:rPr>
                        <w:t>EMERSON KLINGER</w:t>
                      </w:r>
                    </w:p>
                    <w:p>
                      <w:pPr>
                        <w:pStyle w:val="Style2"/>
                        <w:keepNext w:val="0"/>
                        <w:keepLines w:val="0"/>
                        <w:widowControl w:val="0"/>
                        <w:shd w:val="clear" w:color="auto" w:fill="auto"/>
                        <w:bidi w:val="0"/>
                        <w:spacing w:before="0" w:after="0" w:line="310" w:lineRule="auto"/>
                        <w:ind w:left="0" w:right="0" w:firstLine="0"/>
                        <w:jc w:val="left"/>
                        <w:rPr>
                          <w:sz w:val="20"/>
                          <w:szCs w:val="20"/>
                        </w:rPr>
                      </w:pPr>
                      <w:r>
                        <w:rPr>
                          <w:color w:val="000000"/>
                          <w:spacing w:val="0"/>
                          <w:w w:val="100"/>
                          <w:position w:val="0"/>
                          <w:sz w:val="20"/>
                          <w:szCs w:val="20"/>
                          <w:shd w:val="clear" w:color="auto" w:fill="auto"/>
                          <w:lang w:val="pt-PT" w:eastAsia="pt-PT" w:bidi="pt-PT"/>
                        </w:rPr>
                        <w:t>GONÇALVES DE MELLO:88028267220</w:t>
                      </w:r>
                    </w:p>
                  </w:txbxContent>
                </v:textbox>
                <w10:wrap type="topAndBottom" anchorx="page"/>
              </v:shape>
            </w:pict>
          </mc:Fallback>
        </mc:AlternateContent>
      </w:r>
      <w:r>
        <mc:AlternateContent>
          <mc:Choice Requires="wps">
            <w:drawing>
              <wp:anchor distT="50800" distB="0" distL="0" distR="0" simplePos="0" relativeHeight="125829380" behindDoc="0" locked="0" layoutInCell="1" allowOverlap="1">
                <wp:simplePos x="0" y="0"/>
                <wp:positionH relativeFrom="page">
                  <wp:posOffset>3855720</wp:posOffset>
                </wp:positionH>
                <wp:positionV relativeFrom="paragraph">
                  <wp:posOffset>50800</wp:posOffset>
                </wp:positionV>
                <wp:extent cx="1355090" cy="625475"/>
                <wp:wrapTopAndBottom/>
                <wp:docPr id="3" name="Shape 3"/>
                <a:graphic xmlns:a="http://schemas.openxmlformats.org/drawingml/2006/main">
                  <a:graphicData uri="http://schemas.microsoft.com/office/word/2010/wordprocessingShape">
                    <wps:wsp>
                      <wps:cNvSpPr txBox="1"/>
                      <wps:spPr>
                        <a:xfrm>
                          <a:ext cx="1355090" cy="625475"/>
                        </a:xfrm>
                        <a:prstGeom prst="rect"/>
                        <a:noFill/>
                      </wps:spPr>
                      <wps:txbx>
                        <w:txbxContent>
                          <w:p>
                            <w:pPr>
                              <w:pStyle w:val="Style5"/>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Assinado de forma digital por EMERSON KLINGER GONÇALVES DE MELLO:88028267220</w:t>
                            </w:r>
                          </w:p>
                          <w:p>
                            <w:pPr>
                              <w:pStyle w:val="Style5"/>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Dados: 2026.02.27 14:22:38 -04'00'</w:t>
                            </w:r>
                          </w:p>
                        </w:txbxContent>
                      </wps:txbx>
                      <wps:bodyPr lIns="0" tIns="0" rIns="0" bIns="0">
                        <a:noAutoFit/>
                      </wps:bodyPr>
                    </wps:wsp>
                  </a:graphicData>
                </a:graphic>
              </wp:anchor>
            </w:drawing>
          </mc:Choice>
          <mc:Fallback>
            <w:pict>
              <v:shape id="_x0000_s1029" type="#_x0000_t202" style="position:absolute;margin-left:303.60000000000002pt;margin-top:4.pt;width:106.7pt;height:49.25pt;z-index:-125829373;mso-wrap-distance-left:0;mso-wrap-distance-top:4.pt;mso-wrap-distance-right:0;mso-position-horizontal-relative:page" filled="f" stroked="f">
                <v:textbox inset="0,0,0,0">
                  <w:txbxContent>
                    <w:p>
                      <w:pPr>
                        <w:pStyle w:val="Style5"/>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Assinado de forma digital por EMERSON KLINGER GONÇALVES DE MELLO:88028267220</w:t>
                      </w:r>
                    </w:p>
                    <w:p>
                      <w:pPr>
                        <w:pStyle w:val="Style5"/>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Dados: 2026.02.27 14:22:38 -04'00'</w:t>
                      </w:r>
                    </w:p>
                  </w:txbxContent>
                </v:textbox>
                <w10:wrap type="topAndBottom" anchorx="page"/>
              </v:shape>
            </w:pict>
          </mc:Fallback>
        </mc:AlternateContent>
      </w:r>
    </w:p>
    <w:p>
      <w:pPr>
        <w:pStyle w:val="Style2"/>
        <w:keepNext w:val="0"/>
        <w:keepLines w:val="0"/>
        <w:widowControl w:val="0"/>
        <w:pBdr>
          <w:top w:val="single" w:sz="4" w:space="0" w:color="auto"/>
        </w:pBdr>
        <w:shd w:val="clear" w:color="auto" w:fill="auto"/>
        <w:bidi w:val="0"/>
        <w:spacing w:before="0" w:after="380" w:line="384" w:lineRule="auto"/>
        <w:ind w:left="80" w:right="0" w:firstLine="0"/>
        <w:jc w:val="center"/>
      </w:pPr>
      <w:r>
        <w:rPr>
          <w:b/>
          <w:bCs/>
          <w:color w:val="000000"/>
          <w:spacing w:val="0"/>
          <w:w w:val="100"/>
          <w:position w:val="0"/>
          <w:shd w:val="clear" w:color="auto" w:fill="auto"/>
          <w:lang w:val="pt-PT" w:eastAsia="pt-PT" w:bidi="pt-PT"/>
        </w:rPr>
        <w:t>EMERSON KLINGER GONÇALVES DE MELLO</w:t>
        <w:br/>
        <w:t>Prefeitura Municipal de Beruri</w:t>
        <w:br/>
        <w:t>CONTRATANTE</w:t>
      </w:r>
    </w:p>
    <w:tbl>
      <w:tblPr>
        <w:tblOverlap w:val="never"/>
        <w:jc w:val="center"/>
        <w:tblLayout w:type="fixed"/>
      </w:tblPr>
      <w:tblGrid>
        <w:gridCol w:w="316"/>
        <w:gridCol w:w="172"/>
        <w:gridCol w:w="3416"/>
        <w:gridCol w:w="416"/>
      </w:tblGrid>
      <w:tr>
        <w:trPr>
          <w:trHeight w:val="1258" w:hRule="exact"/>
        </w:trPr>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608" w:hRule="exact"/>
        </w:trPr>
        <w:tc>
          <w:tcPr>
            <w:tcBorders>
              <w:top w:val="single" w:sz="4"/>
            </w:tcBorders>
            <w:shd w:val="clear" w:color="auto" w:fill="FFFFFF"/>
            <w:vAlign w:val="top"/>
          </w:tcPr>
          <w:p>
            <w:pPr>
              <w:widowControl w:val="0"/>
              <w:rPr>
                <w:sz w:val="10"/>
                <w:szCs w:val="10"/>
              </w:rPr>
            </w:pPr>
          </w:p>
        </w:tc>
        <w:tc>
          <w:tcPr>
            <w:gridSpan w:val="2"/>
            <w:tcBorders>
              <w:top w:val="single" w:sz="4"/>
            </w:tcBorders>
            <w:shd w:val="clear" w:color="auto" w:fill="FFFFFF"/>
            <w:vAlign w:val="top"/>
          </w:tcPr>
          <w:p>
            <w:pPr>
              <w:pStyle w:val="Style20"/>
              <w:keepNext w:val="0"/>
              <w:keepLines w:val="0"/>
              <w:widowControl w:val="0"/>
              <w:shd w:val="clear" w:color="auto" w:fill="auto"/>
              <w:bidi w:val="0"/>
              <w:spacing w:before="0" w:after="0" w:line="276" w:lineRule="auto"/>
              <w:ind w:left="0" w:right="0" w:firstLine="0"/>
              <w:jc w:val="center"/>
            </w:pPr>
            <w:r>
              <w:rPr>
                <w:b/>
                <w:bCs/>
                <w:color w:val="000000"/>
                <w:spacing w:val="0"/>
                <w:w w:val="100"/>
                <w:position w:val="0"/>
                <w:shd w:val="clear" w:color="auto" w:fill="auto"/>
                <w:lang w:val="pt-PT" w:eastAsia="pt-PT" w:bidi="pt-PT"/>
              </w:rPr>
              <w:t xml:space="preserve">RM SOLUÇÕES </w:t>
            </w:r>
            <w:r>
              <w:rPr>
                <w:b/>
                <w:bCs/>
                <w:color w:val="000000"/>
                <w:spacing w:val="0"/>
                <w:w w:val="100"/>
                <w:position w:val="0"/>
                <w:shd w:val="clear" w:color="auto" w:fill="auto"/>
                <w:lang w:val="pt-BR" w:eastAsia="pt-BR" w:bidi="pt-BR"/>
              </w:rPr>
              <w:t xml:space="preserve">CONTÁBEIS </w:t>
            </w:r>
            <w:r>
              <w:rPr>
                <w:b/>
                <w:bCs/>
                <w:color w:val="000000"/>
                <w:spacing w:val="0"/>
                <w:w w:val="100"/>
                <w:position w:val="0"/>
                <w:shd w:val="clear" w:color="auto" w:fill="auto"/>
                <w:lang w:val="pt-PT" w:eastAsia="pt-PT" w:bidi="pt-PT"/>
              </w:rPr>
              <w:t>LTDA CONTRATADA</w:t>
            </w:r>
          </w:p>
        </w:tc>
        <w:tc>
          <w:tcPr>
            <w:tcBorders>
              <w:top w:val="single" w:sz="4"/>
            </w:tcBorders>
            <w:shd w:val="clear" w:color="auto" w:fill="FFFFFF"/>
            <w:vAlign w:val="top"/>
          </w:tcPr>
          <w:p>
            <w:pPr>
              <w:widowControl w:val="0"/>
              <w:rPr>
                <w:sz w:val="10"/>
                <w:szCs w:val="10"/>
              </w:rPr>
            </w:pPr>
          </w:p>
        </w:tc>
      </w:tr>
    </w:tbl>
    <w:p>
      <w:pPr>
        <w:widowControl w:val="0"/>
        <w:spacing w:after="1199" w:line="1" w:lineRule="exact"/>
      </w:pPr>
    </w:p>
    <w:p>
      <w:pPr>
        <w:pStyle w:val="Style2"/>
        <w:keepNext w:val="0"/>
        <w:keepLines w:val="0"/>
        <w:widowControl w:val="0"/>
        <w:shd w:val="clear" w:color="auto" w:fill="auto"/>
        <w:bidi w:val="0"/>
        <w:spacing w:before="0" w:after="0" w:line="240" w:lineRule="auto"/>
        <w:ind w:left="0" w:right="0" w:firstLine="0"/>
        <w:jc w:val="left"/>
      </w:pPr>
      <w:r>
        <w:rPr>
          <w:i/>
          <w:iCs/>
          <w:color w:val="000000"/>
          <w:spacing w:val="0"/>
          <w:w w:val="100"/>
          <w:position w:val="0"/>
          <w:shd w:val="clear" w:color="auto" w:fill="auto"/>
          <w:lang w:val="pt-PT" w:eastAsia="pt-PT" w:bidi="pt-PT"/>
        </w:rPr>
        <w:t>TESTEMUNHAS:</w:t>
      </w:r>
    </w:p>
    <w:sectPr>
      <w:headerReference w:type="default" r:id="rId5"/>
      <w:footerReference w:type="default" r:id="rId6"/>
      <w:headerReference w:type="first" r:id="rId7"/>
      <w:footerReference w:type="first" r:id="rId8"/>
      <w:footnotePr>
        <w:pos w:val="pageBottom"/>
        <w:numFmt w:val="decimal"/>
        <w:numRestart w:val="continuous"/>
      </w:footnotePr>
      <w:pgSz w:w="11900" w:h="16840"/>
      <w:pgMar w:top="2430" w:left="1374" w:right="963" w:bottom="1272"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2029460</wp:posOffset>
              </wp:positionH>
              <wp:positionV relativeFrom="page">
                <wp:posOffset>10276840</wp:posOffset>
              </wp:positionV>
              <wp:extent cx="3509010" cy="127635"/>
              <wp:wrapNone/>
              <wp:docPr id="13" name="Shape 13"/>
              <a:graphic xmlns:a="http://schemas.openxmlformats.org/drawingml/2006/main">
                <a:graphicData uri="http://schemas.microsoft.com/office/word/2010/wordprocessingShape">
                  <wps:wsp>
                    <wps:cNvSpPr txBox="1"/>
                    <wps:spPr>
                      <a:xfrm>
                        <a:ext cx="3509010" cy="12763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Fonts w:ascii="Arial" w:eastAsia="Arial" w:hAnsi="Arial" w:cs="Arial"/>
                              <w:color w:val="3FA754"/>
                              <w:spacing w:val="0"/>
                              <w:w w:val="100"/>
                              <w:position w:val="0"/>
                              <w:shd w:val="clear" w:color="auto" w:fill="auto"/>
                              <w:lang w:val="pt-PT" w:eastAsia="pt-PT" w:bidi="pt-PT"/>
                            </w:rPr>
                            <w:t xml:space="preserve">(ê) </w:t>
                          </w:r>
                          <w:r>
                            <w:rPr>
                              <w:rFonts w:ascii="Arial" w:eastAsia="Arial" w:hAnsi="Arial" w:cs="Arial"/>
                              <w:color w:val="000000"/>
                              <w:spacing w:val="0"/>
                              <w:w w:val="100"/>
                              <w:position w:val="0"/>
                              <w:shd w:val="clear" w:color="auto" w:fill="auto"/>
                              <w:lang w:val="pt-PT" w:eastAsia="pt-PT" w:bidi="pt-PT"/>
                            </w:rPr>
                            <w:t xml:space="preserve">@prefeituraberuri E-mail: </w:t>
                          </w:r>
                          <w:r>
                            <w:rPr>
                              <w:rFonts w:ascii="Arial" w:eastAsia="Arial" w:hAnsi="Arial" w:cs="Arial"/>
                              <w:color w:val="000000"/>
                              <w:spacing w:val="0"/>
                              <w:w w:val="100"/>
                              <w:position w:val="0"/>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039" type="#_x0000_t202" style="position:absolute;margin-left:159.80000000000001pt;margin-top:809.20000000000005pt;width:276.30000000000001pt;height:10.050000000000001pt;z-index:-188744057;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pPr>
                    <w:r>
                      <w:rPr>
                        <w:rFonts w:ascii="Arial" w:eastAsia="Arial" w:hAnsi="Arial" w:cs="Arial"/>
                        <w:color w:val="3FA754"/>
                        <w:spacing w:val="0"/>
                        <w:w w:val="100"/>
                        <w:position w:val="0"/>
                        <w:shd w:val="clear" w:color="auto" w:fill="auto"/>
                        <w:lang w:val="pt-PT" w:eastAsia="pt-PT" w:bidi="pt-PT"/>
                      </w:rPr>
                      <w:t xml:space="preserve">(ê) </w:t>
                    </w:r>
                    <w:r>
                      <w:rPr>
                        <w:rFonts w:ascii="Arial" w:eastAsia="Arial" w:hAnsi="Arial" w:cs="Arial"/>
                        <w:color w:val="000000"/>
                        <w:spacing w:val="0"/>
                        <w:w w:val="100"/>
                        <w:position w:val="0"/>
                        <w:shd w:val="clear" w:color="auto" w:fill="auto"/>
                        <w:lang w:val="pt-PT" w:eastAsia="pt-PT" w:bidi="pt-PT"/>
                      </w:rPr>
                      <w:t xml:space="preserve">@prefeituraberuri E-mail: </w:t>
                    </w:r>
                    <w:r>
                      <w:rPr>
                        <w:rFonts w:ascii="Arial" w:eastAsia="Arial" w:hAnsi="Arial" w:cs="Arial"/>
                        <w:color w:val="000000"/>
                        <w:spacing w:val="0"/>
                        <w:w w:val="100"/>
                        <w:position w:val="0"/>
                        <w:shd w:val="clear" w:color="auto" w:fill="auto"/>
                        <w:lang w:val="en-US" w:eastAsia="en-US" w:bidi="en-US"/>
                      </w:rPr>
                      <w:t>prefeituradeberuri@gmail.com</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1990090</wp:posOffset>
              </wp:positionH>
              <wp:positionV relativeFrom="page">
                <wp:posOffset>10276840</wp:posOffset>
              </wp:positionV>
              <wp:extent cx="3509010" cy="127635"/>
              <wp:wrapNone/>
              <wp:docPr id="27" name="Shape 27"/>
              <a:graphic xmlns:a="http://schemas.openxmlformats.org/drawingml/2006/main">
                <a:graphicData uri="http://schemas.microsoft.com/office/word/2010/wordprocessingShape">
                  <wps:wsp>
                    <wps:cNvSpPr txBox="1"/>
                    <wps:spPr>
                      <a:xfrm>
                        <a:ext cx="3509010" cy="12763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Fonts w:ascii="Arial" w:eastAsia="Arial" w:hAnsi="Arial" w:cs="Arial"/>
                              <w:color w:val="3FA754"/>
                              <w:spacing w:val="0"/>
                              <w:w w:val="100"/>
                              <w:position w:val="0"/>
                              <w:shd w:val="clear" w:color="auto" w:fill="auto"/>
                              <w:lang w:val="pt-PT" w:eastAsia="pt-PT" w:bidi="pt-PT"/>
                            </w:rPr>
                            <w:t xml:space="preserve">(ê) </w:t>
                          </w:r>
                          <w:r>
                            <w:rPr>
                              <w:rFonts w:ascii="Arial" w:eastAsia="Arial" w:hAnsi="Arial" w:cs="Arial"/>
                              <w:color w:val="000000"/>
                              <w:spacing w:val="0"/>
                              <w:w w:val="100"/>
                              <w:position w:val="0"/>
                              <w:shd w:val="clear" w:color="auto" w:fill="auto"/>
                              <w:lang w:val="pt-PT" w:eastAsia="pt-PT" w:bidi="pt-PT"/>
                            </w:rPr>
                            <w:t xml:space="preserve">@prefeituraberuri E-mail: </w:t>
                          </w:r>
                          <w:r>
                            <w:rPr>
                              <w:rFonts w:ascii="Arial" w:eastAsia="Arial" w:hAnsi="Arial" w:cs="Arial"/>
                              <w:color w:val="000000"/>
                              <w:spacing w:val="0"/>
                              <w:w w:val="100"/>
                              <w:position w:val="0"/>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053" type="#_x0000_t202" style="position:absolute;margin-left:156.69999999999999pt;margin-top:809.20000000000005pt;width:276.30000000000001pt;height:10.050000000000001pt;z-index:-188744047;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pPr>
                    <w:r>
                      <w:rPr>
                        <w:rFonts w:ascii="Arial" w:eastAsia="Arial" w:hAnsi="Arial" w:cs="Arial"/>
                        <w:color w:val="3FA754"/>
                        <w:spacing w:val="0"/>
                        <w:w w:val="100"/>
                        <w:position w:val="0"/>
                        <w:shd w:val="clear" w:color="auto" w:fill="auto"/>
                        <w:lang w:val="pt-PT" w:eastAsia="pt-PT" w:bidi="pt-PT"/>
                      </w:rPr>
                      <w:t xml:space="preserve">(ê) </w:t>
                    </w:r>
                    <w:r>
                      <w:rPr>
                        <w:rFonts w:ascii="Arial" w:eastAsia="Arial" w:hAnsi="Arial" w:cs="Arial"/>
                        <w:color w:val="000000"/>
                        <w:spacing w:val="0"/>
                        <w:w w:val="100"/>
                        <w:position w:val="0"/>
                        <w:shd w:val="clear" w:color="auto" w:fill="auto"/>
                        <w:lang w:val="pt-PT" w:eastAsia="pt-PT" w:bidi="pt-PT"/>
                      </w:rPr>
                      <w:t xml:space="preserve">@prefeituraberuri E-mail: </w:t>
                    </w:r>
                    <w:r>
                      <w:rPr>
                        <w:rFonts w:ascii="Arial" w:eastAsia="Arial" w:hAnsi="Arial" w:cs="Arial"/>
                        <w:color w:val="000000"/>
                        <w:spacing w:val="0"/>
                        <w:w w:val="100"/>
                        <w:position w:val="0"/>
                        <w:shd w:val="clear" w:color="auto" w:fill="auto"/>
                        <w:lang w:val="en-US" w:eastAsia="en-US" w:bidi="en-US"/>
                      </w:rPr>
                      <w:t>prefeituradeberuri@gmail.com</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2531110</wp:posOffset>
              </wp:positionH>
              <wp:positionV relativeFrom="page">
                <wp:posOffset>103505</wp:posOffset>
              </wp:positionV>
              <wp:extent cx="993140" cy="917575"/>
              <wp:wrapNone/>
              <wp:docPr id="5" name="Shape 5"/>
              <a:graphic xmlns:a="http://schemas.openxmlformats.org/drawingml/2006/main">
                <a:graphicData uri="http://schemas.microsoft.com/office/word/2010/wordprocessingShape">
                  <wps:wsp>
                    <wps:cNvSpPr txBox="1"/>
                    <wps:spPr>
                      <a:xfrm>
                        <a:ext cx="993140" cy="917575"/>
                      </a:xfrm>
                      <a:prstGeom prst="rect"/>
                      <a:noFill/>
                    </wps:spPr>
                    <wps:txbx>
                      <w:txbxContent>
                        <w:p>
                          <w:pPr>
                            <w:widowControl w:val="0"/>
                            <w:rPr>
                              <w:sz w:val="2"/>
                              <w:szCs w:val="2"/>
                            </w:rPr>
                          </w:pPr>
                          <w:r>
                            <w:drawing>
                              <wp:inline>
                                <wp:extent cx="993775" cy="914400"/>
                                <wp:docPr id="6" name="Picutre 6"/>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a:stretch/>
                                      </pic:blipFill>
                                      <pic:spPr>
                                        <a:xfrm>
                                          <a:ext cx="993775" cy="914400"/>
                                        </a:xfrm>
                                        <a:prstGeom prst="rect"/>
                                      </pic:spPr>
                                    </pic:pic>
                                  </a:graphicData>
                                </a:graphic>
                              </wp:inline>
                            </w:drawing>
                          </w:r>
                        </w:p>
                      </w:txbxContent>
                    </wps:txbx>
                    <wps:bodyPr lIns="0" tIns="0" rIns="0" bIns="0">
                      <a:noAutoFit/>
                    </wps:bodyPr>
                  </wps:wsp>
                </a:graphicData>
              </a:graphic>
            </wp:anchor>
          </w:drawing>
        </mc:Choice>
        <mc:Fallback>
          <w:pict>
            <v:shape id="_x0000_s1032" type="#_x0000_t202" style="position:absolute;margin-left:199.30000000000001pt;margin-top:8.1500000000000004pt;width:78.200000000000003pt;height:72.25pt;z-index:-188744063;mso-wrap-distance-left:0;mso-wrap-distance-right:0;mso-position-horizontal-relative:page;mso-position-vertical-relative:page" wrapcoords="0 0" filled="f" stroked="f">
              <v:textbox inset="0,0,0,0">
                <w:txbxContent>
                  <w:p>
                    <w:pPr>
                      <w:widowControl w:val="0"/>
                      <w:rPr>
                        <w:sz w:val="2"/>
                        <w:szCs w:val="2"/>
                      </w:rPr>
                    </w:pPr>
                    <w:r>
                      <w:drawing>
                        <wp:inline>
                          <wp:extent cx="993775" cy="914400"/>
                          <wp:docPr id="8" name="Picutre 8"/>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pic:blipFill>
                                <pic:spPr>
                                  <a:xfrm>
                                    <a:ext cx="99377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2" behindDoc="1" locked="0" layoutInCell="1" allowOverlap="1">
              <wp:simplePos x="0" y="0"/>
              <wp:positionH relativeFrom="page">
                <wp:posOffset>3618230</wp:posOffset>
              </wp:positionH>
              <wp:positionV relativeFrom="page">
                <wp:posOffset>161290</wp:posOffset>
              </wp:positionV>
              <wp:extent cx="2089785" cy="737870"/>
              <wp:wrapNone/>
              <wp:docPr id="9" name="Shape 9"/>
              <a:graphic xmlns:a="http://schemas.openxmlformats.org/drawingml/2006/main">
                <a:graphicData uri="http://schemas.microsoft.com/office/word/2010/wordprocessingShape">
                  <wps:wsp>
                    <wps:cNvSpPr txBox="1"/>
                    <wps:spPr>
                      <a:xfrm>
                        <a:ext cx="2089785" cy="73787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FA188"/>
                              <w:spacing w:val="0"/>
                              <w:w w:val="100"/>
                              <w:position w:val="0"/>
                              <w:sz w:val="18"/>
                              <w:szCs w:val="18"/>
                              <w:shd w:val="clear" w:color="auto" w:fill="auto"/>
                              <w:lang w:val="pt-PT" w:eastAsia="pt-PT" w:bidi="pt-PT"/>
                            </w:rPr>
                            <w:t>Prefeitura Municipal de</w:t>
                          </w:r>
                        </w:p>
                        <w:p>
                          <w:pPr>
                            <w:pStyle w:val="Style8"/>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FA754"/>
                              <w:spacing w:val="0"/>
                              <w:w w:val="100"/>
                              <w:position w:val="0"/>
                              <w:sz w:val="86"/>
                              <w:szCs w:val="86"/>
                              <w:shd w:val="clear" w:color="auto" w:fill="auto"/>
                              <w:lang w:val="pt-PT" w:eastAsia="pt-PT" w:bidi="pt-PT"/>
                            </w:rPr>
                            <w:t>BERURI</w:t>
                          </w:r>
                        </w:p>
                        <w:p>
                          <w:pPr>
                            <w:pStyle w:val="Style8"/>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5D4746"/>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035" type="#_x0000_t202" style="position:absolute;margin-left:284.89999999999998pt;margin-top:12.699999999999999pt;width:164.55000000000001pt;height:58.100000000000001pt;z-index:-188744061;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FA188"/>
                        <w:spacing w:val="0"/>
                        <w:w w:val="100"/>
                        <w:position w:val="0"/>
                        <w:sz w:val="18"/>
                        <w:szCs w:val="18"/>
                        <w:shd w:val="clear" w:color="auto" w:fill="auto"/>
                        <w:lang w:val="pt-PT" w:eastAsia="pt-PT" w:bidi="pt-PT"/>
                      </w:rPr>
                      <w:t>Prefeitura Municipal de</w:t>
                    </w:r>
                  </w:p>
                  <w:p>
                    <w:pPr>
                      <w:pStyle w:val="Style8"/>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FA754"/>
                        <w:spacing w:val="0"/>
                        <w:w w:val="100"/>
                        <w:position w:val="0"/>
                        <w:sz w:val="86"/>
                        <w:szCs w:val="86"/>
                        <w:shd w:val="clear" w:color="auto" w:fill="auto"/>
                        <w:lang w:val="pt-PT" w:eastAsia="pt-PT" w:bidi="pt-PT"/>
                      </w:rPr>
                      <w:t>BERURI</w:t>
                    </w:r>
                  </w:p>
                  <w:p>
                    <w:pPr>
                      <w:pStyle w:val="Style8"/>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5D4746"/>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694" behindDoc="1" locked="0" layoutInCell="1" allowOverlap="1">
              <wp:simplePos x="0" y="0"/>
              <wp:positionH relativeFrom="page">
                <wp:posOffset>1054735</wp:posOffset>
              </wp:positionH>
              <wp:positionV relativeFrom="page">
                <wp:posOffset>361315</wp:posOffset>
              </wp:positionV>
              <wp:extent cx="1188085" cy="427990"/>
              <wp:wrapNone/>
              <wp:docPr id="11" name="Shape 11"/>
              <a:graphic xmlns:a="http://schemas.openxmlformats.org/drawingml/2006/main">
                <a:graphicData uri="http://schemas.microsoft.com/office/word/2010/wordprocessingShape">
                  <wps:wsp>
                    <wps:cNvSpPr txBox="1"/>
                    <wps:spPr>
                      <a:xfrm>
                        <a:ext cx="1188085" cy="4279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DEPARTAMENTO</w:t>
                          </w:r>
                        </w:p>
                        <w:p>
                          <w:pPr>
                            <w:pStyle w:val="Style8"/>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ADMINISTRATIVO</w:t>
                          </w:r>
                        </w:p>
                        <w:p>
                          <w:pPr>
                            <w:pStyle w:val="Style8"/>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E FINANCEIRO</w:t>
                          </w:r>
                        </w:p>
                      </w:txbxContent>
                    </wps:txbx>
                    <wps:bodyPr wrap="none" lIns="0" tIns="0" rIns="0" bIns="0">
                      <a:spAutoFit/>
                    </wps:bodyPr>
                  </wps:wsp>
                </a:graphicData>
              </a:graphic>
            </wp:anchor>
          </w:drawing>
        </mc:Choice>
        <mc:Fallback>
          <w:pict>
            <v:shape id="_x0000_s1037" type="#_x0000_t202" style="position:absolute;margin-left:83.049999999999997pt;margin-top:28.449999999999999pt;width:93.549999999999997pt;height:33.700000000000003pt;z-index:-188744059;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DEPARTAMENTO</w:t>
                    </w:r>
                  </w:p>
                  <w:p>
                    <w:pPr>
                      <w:pStyle w:val="Style8"/>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ADMINISTRATIVO</w:t>
                    </w:r>
                  </w:p>
                  <w:p>
                    <w:pPr>
                      <w:pStyle w:val="Style8"/>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E FINANCEIRO</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6890385</wp:posOffset>
              </wp:positionH>
              <wp:positionV relativeFrom="page">
                <wp:posOffset>8890</wp:posOffset>
              </wp:positionV>
              <wp:extent cx="622935" cy="437515"/>
              <wp:wrapNone/>
              <wp:docPr id="15" name="Shape 15"/>
              <a:graphic xmlns:a="http://schemas.openxmlformats.org/drawingml/2006/main">
                <a:graphicData uri="http://schemas.microsoft.com/office/word/2010/wordprocessingShape">
                  <wps:wsp>
                    <wps:cNvSpPr txBox="1"/>
                    <wps:spPr>
                      <a:xfrm>
                        <a:ext cx="622935" cy="437515"/>
                      </a:xfrm>
                      <a:prstGeom prst="rect"/>
                      <a:noFill/>
                    </wps:spPr>
                    <wps:txbx>
                      <w:txbxContent>
                        <w:p>
                          <w:pPr>
                            <w:widowControl w:val="0"/>
                            <w:rPr>
                              <w:sz w:val="2"/>
                              <w:szCs w:val="2"/>
                            </w:rPr>
                          </w:pPr>
                          <w:r>
                            <w:drawing>
                              <wp:inline>
                                <wp:extent cx="621665" cy="438785"/>
                                <wp:docPr id="16" name="Picutre 16"/>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
                                        <a:stretch/>
                                      </pic:blipFill>
                                      <pic:spPr>
                                        <a:xfrm>
                                          <a:ext cx="621665" cy="438785"/>
                                        </a:xfrm>
                                        <a:prstGeom prst="rect"/>
                                      </pic:spPr>
                                    </pic:pic>
                                  </a:graphicData>
                                </a:graphic>
                              </wp:inline>
                            </w:drawing>
                          </w:r>
                        </w:p>
                      </w:txbxContent>
                    </wps:txbx>
                    <wps:bodyPr lIns="0" tIns="0" rIns="0" bIns="0">
                      <a:noAutoFit/>
                    </wps:bodyPr>
                  </wps:wsp>
                </a:graphicData>
              </a:graphic>
            </wp:anchor>
          </w:drawing>
        </mc:Choice>
        <mc:Fallback>
          <w:pict>
            <v:shape id="_x0000_s1042" type="#_x0000_t202" style="position:absolute;margin-left:542.54999999999995pt;margin-top:0.69999999999999996pt;width:49.049999999999997pt;height:34.450000000000003pt;z-index:-188744055;mso-wrap-distance-left:0;mso-wrap-distance-right:0;mso-position-horizontal-relative:page;mso-position-vertical-relative:page" wrapcoords="0 0" filled="f" stroked="f">
              <v:textbox inset="0,0,0,0">
                <w:txbxContent>
                  <w:p>
                    <w:pPr>
                      <w:widowControl w:val="0"/>
                      <w:rPr>
                        <w:sz w:val="2"/>
                        <w:szCs w:val="2"/>
                      </w:rPr>
                    </w:pPr>
                    <w:r>
                      <w:drawing>
                        <wp:inline>
                          <wp:extent cx="621665" cy="438785"/>
                          <wp:docPr id="18" name="Picutre 18"/>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
                                  <a:stretch/>
                                </pic:blipFill>
                                <pic:spPr>
                                  <a:xfrm>
                                    <a:ext cx="621665" cy="4387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0" behindDoc="1" locked="0" layoutInCell="1" allowOverlap="1">
              <wp:simplePos x="0" y="0"/>
              <wp:positionH relativeFrom="page">
                <wp:posOffset>2491740</wp:posOffset>
              </wp:positionH>
              <wp:positionV relativeFrom="page">
                <wp:posOffset>103505</wp:posOffset>
              </wp:positionV>
              <wp:extent cx="993140" cy="917575"/>
              <wp:wrapNone/>
              <wp:docPr id="19" name="Shape 19"/>
              <a:graphic xmlns:a="http://schemas.openxmlformats.org/drawingml/2006/main">
                <a:graphicData uri="http://schemas.microsoft.com/office/word/2010/wordprocessingShape">
                  <wps:wsp>
                    <wps:cNvSpPr txBox="1"/>
                    <wps:spPr>
                      <a:xfrm>
                        <a:ext cx="993140" cy="917575"/>
                      </a:xfrm>
                      <a:prstGeom prst="rect"/>
                      <a:noFill/>
                    </wps:spPr>
                    <wps:txbx>
                      <w:txbxContent>
                        <w:p>
                          <w:pPr>
                            <w:widowControl w:val="0"/>
                            <w:rPr>
                              <w:sz w:val="2"/>
                              <w:szCs w:val="2"/>
                            </w:rPr>
                          </w:pPr>
                          <w:r>
                            <w:drawing>
                              <wp:inline>
                                <wp:extent cx="993775" cy="914400"/>
                                <wp:docPr id="20" name="Picutre 20"/>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3"/>
                                        <a:stretch/>
                                      </pic:blipFill>
                                      <pic:spPr>
                                        <a:xfrm>
                                          <a:ext cx="993775" cy="914400"/>
                                        </a:xfrm>
                                        <a:prstGeom prst="rect"/>
                                      </pic:spPr>
                                    </pic:pic>
                                  </a:graphicData>
                                </a:graphic>
                              </wp:inline>
                            </w:drawing>
                          </w:r>
                        </w:p>
                      </w:txbxContent>
                    </wps:txbx>
                    <wps:bodyPr lIns="0" tIns="0" rIns="0" bIns="0">
                      <a:noAutoFit/>
                    </wps:bodyPr>
                  </wps:wsp>
                </a:graphicData>
              </a:graphic>
            </wp:anchor>
          </w:drawing>
        </mc:Choice>
        <mc:Fallback>
          <w:pict>
            <v:shape id="_x0000_s1046" type="#_x0000_t202" style="position:absolute;margin-left:196.19999999999999pt;margin-top:8.1500000000000004pt;width:78.200000000000003pt;height:72.25pt;z-index:-188744053;mso-wrap-distance-left:0;mso-wrap-distance-right:0;mso-position-horizontal-relative:page;mso-position-vertical-relative:page" wrapcoords="0 0" filled="f" stroked="f">
              <v:textbox inset="0,0,0,0">
                <w:txbxContent>
                  <w:p>
                    <w:pPr>
                      <w:widowControl w:val="0"/>
                      <w:rPr>
                        <w:sz w:val="2"/>
                        <w:szCs w:val="2"/>
                      </w:rPr>
                    </w:pPr>
                    <w:r>
                      <w:drawing>
                        <wp:inline>
                          <wp:extent cx="993775" cy="914400"/>
                          <wp:docPr id="22" name="Picutre 22"/>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3"/>
                                  <a:stretch/>
                                </pic:blipFill>
                                <pic:spPr>
                                  <a:xfrm>
                                    <a:ext cx="99377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2" behindDoc="1" locked="0" layoutInCell="1" allowOverlap="1">
              <wp:simplePos x="0" y="0"/>
              <wp:positionH relativeFrom="page">
                <wp:posOffset>3578860</wp:posOffset>
              </wp:positionH>
              <wp:positionV relativeFrom="page">
                <wp:posOffset>161290</wp:posOffset>
              </wp:positionV>
              <wp:extent cx="2089785" cy="737870"/>
              <wp:wrapNone/>
              <wp:docPr id="23" name="Shape 23"/>
              <a:graphic xmlns:a="http://schemas.openxmlformats.org/drawingml/2006/main">
                <a:graphicData uri="http://schemas.microsoft.com/office/word/2010/wordprocessingShape">
                  <wps:wsp>
                    <wps:cNvSpPr txBox="1"/>
                    <wps:spPr>
                      <a:xfrm>
                        <a:ext cx="2089785" cy="73787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FA188"/>
                              <w:spacing w:val="0"/>
                              <w:w w:val="100"/>
                              <w:position w:val="0"/>
                              <w:sz w:val="18"/>
                              <w:szCs w:val="18"/>
                              <w:shd w:val="clear" w:color="auto" w:fill="auto"/>
                              <w:lang w:val="pt-PT" w:eastAsia="pt-PT" w:bidi="pt-PT"/>
                            </w:rPr>
                            <w:t>Prefeitura Municipal de</w:t>
                          </w:r>
                        </w:p>
                        <w:p>
                          <w:pPr>
                            <w:pStyle w:val="Style8"/>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FA754"/>
                              <w:spacing w:val="0"/>
                              <w:w w:val="100"/>
                              <w:position w:val="0"/>
                              <w:sz w:val="86"/>
                              <w:szCs w:val="86"/>
                              <w:shd w:val="clear" w:color="auto" w:fill="auto"/>
                              <w:lang w:val="pt-PT" w:eastAsia="pt-PT" w:bidi="pt-PT"/>
                            </w:rPr>
                            <w:t>BERURI</w:t>
                          </w:r>
                        </w:p>
                        <w:p>
                          <w:pPr>
                            <w:pStyle w:val="Style8"/>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5D4746"/>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049" type="#_x0000_t202" style="position:absolute;margin-left:281.80000000000001pt;margin-top:12.699999999999999pt;width:164.55000000000001pt;height:58.100000000000001pt;z-index:-188744051;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FA188"/>
                        <w:spacing w:val="0"/>
                        <w:w w:val="100"/>
                        <w:position w:val="0"/>
                        <w:sz w:val="18"/>
                        <w:szCs w:val="18"/>
                        <w:shd w:val="clear" w:color="auto" w:fill="auto"/>
                        <w:lang w:val="pt-PT" w:eastAsia="pt-PT" w:bidi="pt-PT"/>
                      </w:rPr>
                      <w:t>Prefeitura Municipal de</w:t>
                    </w:r>
                  </w:p>
                  <w:p>
                    <w:pPr>
                      <w:pStyle w:val="Style8"/>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FA754"/>
                        <w:spacing w:val="0"/>
                        <w:w w:val="100"/>
                        <w:position w:val="0"/>
                        <w:sz w:val="86"/>
                        <w:szCs w:val="86"/>
                        <w:shd w:val="clear" w:color="auto" w:fill="auto"/>
                        <w:lang w:val="pt-PT" w:eastAsia="pt-PT" w:bidi="pt-PT"/>
                      </w:rPr>
                      <w:t>BERURI</w:t>
                    </w:r>
                  </w:p>
                  <w:p>
                    <w:pPr>
                      <w:pStyle w:val="Style8"/>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5D4746"/>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704" behindDoc="1" locked="0" layoutInCell="1" allowOverlap="1">
              <wp:simplePos x="0" y="0"/>
              <wp:positionH relativeFrom="page">
                <wp:posOffset>1014730</wp:posOffset>
              </wp:positionH>
              <wp:positionV relativeFrom="page">
                <wp:posOffset>361315</wp:posOffset>
              </wp:positionV>
              <wp:extent cx="1188085" cy="427990"/>
              <wp:wrapNone/>
              <wp:docPr id="25" name="Shape 25"/>
              <a:graphic xmlns:a="http://schemas.openxmlformats.org/drawingml/2006/main">
                <a:graphicData uri="http://schemas.microsoft.com/office/word/2010/wordprocessingShape">
                  <wps:wsp>
                    <wps:cNvSpPr txBox="1"/>
                    <wps:spPr>
                      <a:xfrm>
                        <a:ext cx="1188085" cy="4279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DEPARTAMENTO</w:t>
                          </w:r>
                        </w:p>
                        <w:p>
                          <w:pPr>
                            <w:pStyle w:val="Style8"/>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ADMINISTRATIVO</w:t>
                          </w:r>
                        </w:p>
                        <w:p>
                          <w:pPr>
                            <w:pStyle w:val="Style8"/>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E FINANCEIRO</w:t>
                          </w:r>
                        </w:p>
                      </w:txbxContent>
                    </wps:txbx>
                    <wps:bodyPr wrap="none" lIns="0" tIns="0" rIns="0" bIns="0">
                      <a:spAutoFit/>
                    </wps:bodyPr>
                  </wps:wsp>
                </a:graphicData>
              </a:graphic>
            </wp:anchor>
          </w:drawing>
        </mc:Choice>
        <mc:Fallback>
          <w:pict>
            <v:shape id="_x0000_s1051" type="#_x0000_t202" style="position:absolute;margin-left:79.900000000000006pt;margin-top:28.449999999999999pt;width:93.549999999999997pt;height:33.700000000000003pt;z-index:-188744049;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DEPARTAMENTO</w:t>
                    </w:r>
                  </w:p>
                  <w:p>
                    <w:pPr>
                      <w:pStyle w:val="Style8"/>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ADMINISTRATIVO</w:t>
                    </w:r>
                  </w:p>
                  <w:p>
                    <w:pPr>
                      <w:pStyle w:val="Style8"/>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E FINANCEIRO</w:t>
                    </w:r>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Arial" w:eastAsia="Arial" w:hAnsi="Arial" w:cs="Arial"/>
        <w:b/>
        <w:bCs/>
        <w:i w:val="0"/>
        <w:iCs w:val="0"/>
        <w:smallCaps w:val="0"/>
        <w:strike w:val="0"/>
        <w:color w:val="000000"/>
        <w:spacing w:val="0"/>
        <w:w w:val="100"/>
        <w:position w:val="0"/>
        <w:sz w:val="19"/>
        <w:szCs w:val="19"/>
        <w:u w:val="none"/>
        <w:shd w:val="clear" w:color="auto" w:fill="auto"/>
        <w:lang w:val="pt-PT" w:eastAsia="pt-PT" w:bidi="pt-PT"/>
      </w:rPr>
    </w:lvl>
    <w:lvl w:ilvl="1">
      <w:start w:val="1"/>
      <w:numFmt w:val="decimal"/>
      <w:lvlText w:val="%1.%2."/>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lvl w:ilvl="2">
      <w:start w:val="1"/>
      <w:numFmt w:val="decimal"/>
      <w:lvlText w:val="%1.%2.%3."/>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lvl w:ilvl="3">
      <w:start w:val="1"/>
      <w:numFmt w:val="decimal"/>
      <w:lvlText w:val="%1.%2.%3.%4."/>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2">
    <w:multiLevelType w:val="multilevel"/>
    <w:lvl w:ilvl="0">
      <w:start w:val="1"/>
      <w:numFmt w:val="decimal"/>
      <w:lvlText w:val="1.2.%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4">
    <w:multiLevelType w:val="multilevel"/>
    <w:lvl w:ilvl="0">
      <w:start w:val="1"/>
      <w:numFmt w:val="decimal"/>
      <w:lvlText w:val="5.4.%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6">
    <w:multiLevelType w:val="multilevel"/>
    <w:lvl w:ilvl="0">
      <w:start w:val="2"/>
      <w:numFmt w:val="lowerLetter"/>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8">
    <w:multiLevelType w:val="multilevel"/>
    <w:lvl w:ilvl="0">
      <w:start w:val="1"/>
      <w:numFmt w:val="decimal"/>
      <w:lvlText w:val="5.4.11.%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10">
    <w:multiLevelType w:val="multilevel"/>
    <w:lvl w:ilvl="0">
      <w:start w:val="1"/>
      <w:numFmt w:val="decimal"/>
      <w:lvlText w:val="9.%1"/>
      <w:rPr>
        <w:rFonts w:ascii="Arial" w:eastAsia="Arial" w:hAnsi="Arial" w:cs="Arial"/>
        <w:b w:val="0"/>
        <w:bCs w:val="0"/>
        <w:i/>
        <w:iCs/>
        <w:smallCaps w:val="0"/>
        <w:strike w:val="0"/>
        <w:color w:val="000000"/>
        <w:spacing w:val="0"/>
        <w:w w:val="100"/>
        <w:position w:val="0"/>
        <w:sz w:val="19"/>
        <w:szCs w:val="19"/>
        <w:u w:val="none"/>
        <w:shd w:val="clear" w:color="auto" w:fill="auto"/>
        <w:lang w:val="pt-PT" w:eastAsia="pt-PT" w:bidi="pt-PT"/>
      </w:rPr>
    </w:lvl>
  </w:abstractNum>
  <w:abstractNum w:abstractNumId="12">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14">
    <w:multiLevelType w:val="multilevel"/>
    <w:lvl w:ilvl="0">
      <w:start w:val="1"/>
      <w:numFmt w:val="lowerRoman"/>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16">
    <w:multiLevelType w:val="multilevel"/>
    <w:lvl w:ilvl="0">
      <w:start w:val="1"/>
      <w:numFmt w:val="decimal"/>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18">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20">
    <w:multiLevelType w:val="multilevel"/>
    <w:lvl w:ilvl="0">
      <w:start w:val="1"/>
      <w:numFmt w:val="lowerLetter"/>
      <w:lvlText w:val="%1)"/>
      <w:rPr>
        <w:rFonts w:ascii="Arial" w:eastAsia="Arial" w:hAnsi="Arial" w:cs="Arial"/>
        <w:b w:val="0"/>
        <w:bCs w:val="0"/>
        <w:i/>
        <w:iCs/>
        <w:smallCaps w:val="0"/>
        <w:strike w:val="0"/>
        <w:color w:val="000000"/>
        <w:spacing w:val="0"/>
        <w:w w:val="100"/>
        <w:position w:val="0"/>
        <w:sz w:val="19"/>
        <w:szCs w:val="19"/>
        <w:u w:val="none"/>
        <w:shd w:val="clear" w:color="auto" w:fill="auto"/>
        <w:lang w:val="pt-PT" w:eastAsia="pt-PT" w:bidi="pt-PT"/>
      </w:rPr>
    </w:lvl>
  </w:abstractNum>
  <w:abstractNum w:abstractNumId="22">
    <w:multiLevelType w:val="multilevel"/>
    <w:lvl w:ilvl="0">
      <w:start w:val="1"/>
      <w:numFmt w:val="decimal"/>
      <w:lvlText w:val="12.1.%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24">
    <w:multiLevelType w:val="multilevel"/>
    <w:lvl w:ilvl="0">
      <w:start w:val="1"/>
      <w:numFmt w:val="decimal"/>
      <w:lvlText w:val="12.1.%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26">
    <w:multiLevelType w:val="multilevel"/>
    <w:lvl w:ilvl="0">
      <w:start w:val="1"/>
      <w:numFmt w:val="decimal"/>
      <w:lvlText w:val="12.1.1.%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28">
    <w:multiLevelType w:val="multilevel"/>
    <w:lvl w:ilvl="0">
      <w:start w:val="2"/>
      <w:numFmt w:val="decimal"/>
      <w:lvlText w:val="12.%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30">
    <w:multiLevelType w:val="multilevel"/>
    <w:lvl w:ilvl="0">
      <w:start w:val="1"/>
      <w:numFmt w:val="decimal"/>
      <w:lvlText w:val="12.2.%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32">
    <w:multiLevelType w:val="multilevel"/>
    <w:lvl w:ilvl="0">
      <w:start w:val="1"/>
      <w:numFmt w:val="bullet"/>
      <w:lvlText w:val="•"/>
      <w:rPr>
        <w:rFonts w:ascii="Arial" w:eastAsia="Arial" w:hAnsi="Arial" w:cs="Arial"/>
        <w:b/>
        <w:bCs/>
        <w:i w:val="0"/>
        <w:iCs w:val="0"/>
        <w:smallCaps w:val="0"/>
        <w:strike w:val="0"/>
        <w:color w:val="000000"/>
        <w:spacing w:val="0"/>
        <w:w w:val="100"/>
        <w:position w:val="0"/>
        <w:sz w:val="19"/>
        <w:szCs w:val="19"/>
        <w:u w:val="none"/>
        <w:shd w:val="clear" w:color="auto" w:fill="auto"/>
        <w:lang w:val="pt-PT" w:eastAsia="pt-PT" w:bidi="pt-PT"/>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PT" w:eastAsia="pt-PT" w:bidi="pt-PT"/>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customStyle="1" w:styleId="CharStyle3">
    <w:name w:val="Body text|1_"/>
    <w:basedOn w:val="DefaultParagraphFont"/>
    <w:link w:val="Style2"/>
    <w:rPr>
      <w:rFonts w:ascii="Arial" w:eastAsia="Arial" w:hAnsi="Arial" w:cs="Arial"/>
      <w:b w:val="0"/>
      <w:bCs w:val="0"/>
      <w:i w:val="0"/>
      <w:iCs w:val="0"/>
      <w:smallCaps w:val="0"/>
      <w:strike w:val="0"/>
      <w:sz w:val="19"/>
      <w:szCs w:val="19"/>
      <w:u w:val="none"/>
    </w:rPr>
  </w:style>
  <w:style w:type="character" w:customStyle="1" w:styleId="CharStyle6">
    <w:name w:val="Body text|2_"/>
    <w:basedOn w:val="DefaultParagraphFont"/>
    <w:link w:val="Style5"/>
    <w:rPr>
      <w:rFonts w:ascii="Arial" w:eastAsia="Arial" w:hAnsi="Arial" w:cs="Arial"/>
      <w:b w:val="0"/>
      <w:bCs w:val="0"/>
      <w:i w:val="0"/>
      <w:iCs w:val="0"/>
      <w:smallCaps w:val="0"/>
      <w:strike w:val="0"/>
      <w:sz w:val="13"/>
      <w:szCs w:val="13"/>
      <w:u w:val="none"/>
    </w:rPr>
  </w:style>
  <w:style w:type="character" w:customStyle="1" w:styleId="CharStyle9">
    <w:name w:val="Header or footer|2_"/>
    <w:basedOn w:val="DefaultParagraphFont"/>
    <w:link w:val="Style8"/>
    <w:rPr>
      <w:b w:val="0"/>
      <w:bCs w:val="0"/>
      <w:i w:val="0"/>
      <w:iCs w:val="0"/>
      <w:smallCaps w:val="0"/>
      <w:strike w:val="0"/>
      <w:sz w:val="20"/>
      <w:szCs w:val="20"/>
      <w:u w:val="none"/>
    </w:rPr>
  </w:style>
  <w:style w:type="character" w:customStyle="1" w:styleId="CharStyle17">
    <w:name w:val="Heading #1|1_"/>
    <w:basedOn w:val="DefaultParagraphFont"/>
    <w:link w:val="Style16"/>
    <w:rPr>
      <w:rFonts w:ascii="Arial" w:eastAsia="Arial" w:hAnsi="Arial" w:cs="Arial"/>
      <w:b/>
      <w:bCs/>
      <w:i w:val="0"/>
      <w:iCs w:val="0"/>
      <w:smallCaps w:val="0"/>
      <w:strike w:val="0"/>
      <w:sz w:val="19"/>
      <w:szCs w:val="19"/>
      <w:u w:val="none"/>
    </w:rPr>
  </w:style>
  <w:style w:type="character" w:customStyle="1" w:styleId="CharStyle19">
    <w:name w:val="Table caption|1_"/>
    <w:basedOn w:val="DefaultParagraphFont"/>
    <w:link w:val="Style18"/>
    <w:rPr>
      <w:rFonts w:ascii="Arial" w:eastAsia="Arial" w:hAnsi="Arial" w:cs="Arial"/>
      <w:b w:val="0"/>
      <w:bCs w:val="0"/>
      <w:i w:val="0"/>
      <w:iCs w:val="0"/>
      <w:smallCaps w:val="0"/>
      <w:strike w:val="0"/>
      <w:sz w:val="19"/>
      <w:szCs w:val="19"/>
      <w:u w:val="none"/>
    </w:rPr>
  </w:style>
  <w:style w:type="character" w:customStyle="1" w:styleId="CharStyle21">
    <w:name w:val="Other|1_"/>
    <w:basedOn w:val="DefaultParagraphFont"/>
    <w:link w:val="Style20"/>
    <w:rPr>
      <w:rFonts w:ascii="Arial" w:eastAsia="Arial" w:hAnsi="Arial" w:cs="Arial"/>
      <w:b w:val="0"/>
      <w:bCs w:val="0"/>
      <w:i w:val="0"/>
      <w:iCs w:val="0"/>
      <w:smallCaps w:val="0"/>
      <w:strike w:val="0"/>
      <w:sz w:val="19"/>
      <w:szCs w:val="19"/>
      <w:u w:val="none"/>
    </w:rPr>
  </w:style>
  <w:style w:type="paragraph" w:customStyle="1" w:styleId="Style2">
    <w:name w:val="Body text|1"/>
    <w:basedOn w:val="Normal"/>
    <w:link w:val="CharStyle3"/>
    <w:pPr>
      <w:widowControl w:val="0"/>
      <w:shd w:val="clear" w:color="auto" w:fill="FFFFFF"/>
      <w:spacing w:after="120" w:line="283" w:lineRule="auto"/>
    </w:pPr>
    <w:rPr>
      <w:rFonts w:ascii="Arial" w:eastAsia="Arial" w:hAnsi="Arial" w:cs="Arial"/>
      <w:b w:val="0"/>
      <w:bCs w:val="0"/>
      <w:i w:val="0"/>
      <w:iCs w:val="0"/>
      <w:smallCaps w:val="0"/>
      <w:strike w:val="0"/>
      <w:sz w:val="19"/>
      <w:szCs w:val="19"/>
      <w:u w:val="none"/>
    </w:rPr>
  </w:style>
  <w:style w:type="paragraph" w:customStyle="1" w:styleId="Style5">
    <w:name w:val="Body text|2"/>
    <w:basedOn w:val="Normal"/>
    <w:link w:val="CharStyle6"/>
    <w:pPr>
      <w:widowControl w:val="0"/>
      <w:shd w:val="clear" w:color="auto" w:fill="FFFFFF"/>
      <w:spacing w:line="302" w:lineRule="auto"/>
    </w:pPr>
    <w:rPr>
      <w:rFonts w:ascii="Arial" w:eastAsia="Arial" w:hAnsi="Arial" w:cs="Arial"/>
      <w:b w:val="0"/>
      <w:bCs w:val="0"/>
      <w:i w:val="0"/>
      <w:iCs w:val="0"/>
      <w:smallCaps w:val="0"/>
      <w:strike w:val="0"/>
      <w:sz w:val="13"/>
      <w:szCs w:val="13"/>
      <w:u w:val="none"/>
    </w:rPr>
  </w:style>
  <w:style w:type="paragraph" w:customStyle="1" w:styleId="Style8">
    <w:name w:val="Header or footer|2"/>
    <w:basedOn w:val="Normal"/>
    <w:link w:val="CharStyle9"/>
    <w:pPr>
      <w:widowControl w:val="0"/>
      <w:shd w:val="clear" w:color="auto" w:fill="FFFFFF"/>
    </w:pPr>
    <w:rPr>
      <w:b w:val="0"/>
      <w:bCs w:val="0"/>
      <w:i w:val="0"/>
      <w:iCs w:val="0"/>
      <w:smallCaps w:val="0"/>
      <w:strike w:val="0"/>
      <w:sz w:val="20"/>
      <w:szCs w:val="20"/>
      <w:u w:val="none"/>
    </w:rPr>
  </w:style>
  <w:style w:type="paragraph" w:customStyle="1" w:styleId="Style16">
    <w:name w:val="Heading #1|1"/>
    <w:basedOn w:val="Normal"/>
    <w:link w:val="CharStyle17"/>
    <w:pPr>
      <w:widowControl w:val="0"/>
      <w:shd w:val="clear" w:color="auto" w:fill="FFFFFF"/>
      <w:spacing w:after="100" w:line="283" w:lineRule="auto"/>
      <w:outlineLvl w:val="0"/>
    </w:pPr>
    <w:rPr>
      <w:rFonts w:ascii="Arial" w:eastAsia="Arial" w:hAnsi="Arial" w:cs="Arial"/>
      <w:b/>
      <w:bCs/>
      <w:i w:val="0"/>
      <w:iCs w:val="0"/>
      <w:smallCaps w:val="0"/>
      <w:strike w:val="0"/>
      <w:sz w:val="19"/>
      <w:szCs w:val="19"/>
      <w:u w:val="none"/>
    </w:rPr>
  </w:style>
  <w:style w:type="paragraph" w:customStyle="1" w:styleId="Style18">
    <w:name w:val="Table caption|1"/>
    <w:basedOn w:val="Normal"/>
    <w:link w:val="CharStyle19"/>
    <w:pPr>
      <w:widowControl w:val="0"/>
      <w:shd w:val="clear" w:color="auto" w:fill="FFFFFF"/>
    </w:pPr>
    <w:rPr>
      <w:rFonts w:ascii="Arial" w:eastAsia="Arial" w:hAnsi="Arial" w:cs="Arial"/>
      <w:b w:val="0"/>
      <w:bCs w:val="0"/>
      <w:i w:val="0"/>
      <w:iCs w:val="0"/>
      <w:smallCaps w:val="0"/>
      <w:strike w:val="0"/>
      <w:sz w:val="19"/>
      <w:szCs w:val="19"/>
      <w:u w:val="none"/>
    </w:rPr>
  </w:style>
  <w:style w:type="paragraph" w:customStyle="1" w:styleId="Style20">
    <w:name w:val="Other|1"/>
    <w:basedOn w:val="Normal"/>
    <w:link w:val="CharStyle21"/>
    <w:pPr>
      <w:widowControl w:val="0"/>
      <w:shd w:val="clear" w:color="auto" w:fill="FFFFFF"/>
      <w:spacing w:after="120" w:line="283" w:lineRule="auto"/>
    </w:pPr>
    <w:rPr>
      <w:rFonts w:ascii="Arial" w:eastAsia="Arial" w:hAnsi="Arial" w:cs="Arial"/>
      <w:b w:val="0"/>
      <w:bCs w:val="0"/>
      <w:i w:val="0"/>
      <w:iCs w:val="0"/>
      <w:smallCaps w:val="0"/>
      <w:strike w:val="0"/>
      <w:sz w:val="19"/>
      <w:szCs w:val="19"/>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s>
</file>

<file path=word/_rels/header1.xml.rels>&#65279;<?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1.jpeg" TargetMode="External"/></Relationships>
</file>

<file path=word/_rels/header2.xml.rels>&#65279;<?xml version="1.0" encoding="UTF-8" standalone="yes"?>
<Relationships xmlns="http://schemas.openxmlformats.org/package/2006/relationships"><Relationship Id="rId1" Type="http://schemas.openxmlformats.org/officeDocument/2006/relationships/image" Target="media/image2.jpeg"/><Relationship Id="rId2" Type="http://schemas.openxmlformats.org/officeDocument/2006/relationships/image" Target="media/image2.jpeg" TargetMode="External"/><Relationship Id="rId3" Type="http://schemas.openxmlformats.org/officeDocument/2006/relationships/image" Target="media/image3.jpeg"/><Relationship Id="rId4" Type="http://schemas.openxmlformats.org/officeDocument/2006/relationships/image" Target="media/image3.jpeg" TargetMode="External"/></Relationships>
</file>

<file path=docProps/core.xml><?xml version="1.0" encoding="utf-8"?>
<cp:coreProperties xmlns:cp="http://schemas.openxmlformats.org/package/2006/metadata/core-properties" xmlns:dc="http://purl.org/dc/elements/1.1/">
  <dc:title>wresy.pdf</dc:title>
  <dc:subject/>
  <dc:creator>Municipal Beruri</dc:creator>
  <cp:keywords/>
</cp:coreProperties>
</file>