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1020" w:after="420" w:line="228" w:lineRule="auto"/>
        <w:ind w:left="0" w:right="0" w:firstLine="0"/>
        <w:jc w:val="center"/>
      </w:pPr>
      <w:bookmarkStart w:id="0" w:name="bookmark0"/>
      <w:r>
        <w:rPr>
          <w:rStyle w:val="CharStyle3"/>
          <w:b/>
          <w:bCs/>
        </w:rPr>
        <w:t>ESTADO DO AMAZONAS</w:t>
        <w:br/>
        <w:t>MUNICÍPIO DE BERURI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 xml:space="preserve">GABINETE DA </w:t>
      </w:r>
      <w:r>
        <w:rPr>
          <w:rStyle w:val="CharStyle8"/>
          <w:b/>
          <w:bCs/>
          <w:lang w:val="pt-BR" w:eastAsia="pt-BR" w:bidi="pt-BR"/>
        </w:rPr>
        <w:t>PREFEITA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8"/>
          <w:b/>
          <w:bCs/>
        </w:rPr>
        <w:t>LEI N° 297.2021, 06 DE DEZEMBRO DE 2021.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Style w:val="CharStyle8"/>
        </w:rPr>
        <w:t>Dispõe sobre o Plano Plurianual do Município de Beruri, Estado do Amazonas, para o período 2022-2025.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20" w:line="233" w:lineRule="auto"/>
        <w:ind w:left="0" w:right="0" w:firstLine="0"/>
        <w:jc w:val="both"/>
      </w:pPr>
      <w:bookmarkStart w:id="2" w:name="bookmark2"/>
      <w:r>
        <w:rPr>
          <w:rStyle w:val="CharStyle3"/>
          <w:b/>
          <w:bCs/>
        </w:rPr>
        <w:t xml:space="preserve">A </w:t>
      </w:r>
      <w:r>
        <w:rPr>
          <w:rStyle w:val="CharStyle3"/>
          <w:b/>
          <w:bCs/>
          <w:lang w:val="pt-BR" w:eastAsia="pt-BR" w:bidi="pt-BR"/>
        </w:rPr>
        <w:t xml:space="preserve">PREFEITA </w:t>
      </w:r>
      <w:r>
        <w:rPr>
          <w:rStyle w:val="CharStyle3"/>
          <w:b/>
          <w:bCs/>
        </w:rPr>
        <w:t>DO MUNICÍPIO DE BERURI-AM,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Style w:val="CharStyle8"/>
        </w:rPr>
        <w:t>Faço saber que a Câmara Municipal aprovou e eu sanciono a seguinte Lei: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Style w:val="CharStyle8"/>
          <w:b/>
          <w:bCs/>
        </w:rPr>
        <w:t xml:space="preserve">Art. 1°. </w:t>
      </w:r>
      <w:r>
        <w:rPr>
          <w:rStyle w:val="CharStyle8"/>
        </w:rPr>
        <w:t>Fica instituído o Plano Plurianual - PPA para o período de 2022-2025, estabelecendo, em cumprimento ao disposto no art. 165, inciso I e § 1°, da Constituição Federal e art. 157, inciso I e § I</w:t>
      </w:r>
      <w:r>
        <w:rPr>
          <w:rStyle w:val="CharStyle8"/>
          <w:vertAlign w:val="superscript"/>
        </w:rPr>
        <w:t>o</w:t>
      </w:r>
      <w:r>
        <w:rPr>
          <w:rStyle w:val="CharStyle8"/>
        </w:rPr>
        <w:t xml:space="preserve"> da Constituição do Estado do Amazonas, as diretrizes, objetivos e metas da Administração Pública Municipal para as despesas de capital, outras delas decorrentes e para as relativas aos programas de duração continuada, na forma dos Anexos, desta Lei.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  <w:lang w:val="pt-BR" w:eastAsia="pt-BR" w:bidi="pt-BR"/>
        </w:rPr>
        <w:t>§ I</w:t>
      </w:r>
      <w:r>
        <w:rPr>
          <w:rStyle w:val="CharStyle8"/>
          <w:b/>
          <w:bCs/>
          <w:vertAlign w:val="superscript"/>
          <w:lang w:val="pt-BR" w:eastAsia="pt-BR" w:bidi="pt-BR"/>
        </w:rPr>
        <w:t>o</w:t>
      </w:r>
      <w:r>
        <w:rPr>
          <w:rStyle w:val="CharStyle8"/>
          <w:b/>
          <w:bCs/>
          <w:lang w:val="pt-BR" w:eastAsia="pt-BR" w:bidi="pt-BR"/>
        </w:rPr>
        <w:t xml:space="preserve">. </w:t>
      </w:r>
      <w:r>
        <w:rPr>
          <w:rStyle w:val="CharStyle8"/>
        </w:rPr>
        <w:t>Integram o Plano Plurianual: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5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I: Orientação Estratégica de Governo;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9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II: Consulta Pública;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6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III: PPA por Órgão e Programa;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7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IV: Consolidado por Tipo de Programa;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5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V: Operações Especiais;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1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VI: Programa de Apoio Administrativo;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8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VII: Programas Finalísticos;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35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VIII: PPA Detalhado por Unidade;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7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IX: PPA Detalhado - Tipo de Ação, Função e Subfunção;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5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- Anexo X: PPA Detalhado - Função e Subfunção;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XI - Anexo XI: Anexos de Metas e Prioridades; 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>XII - Anexo XII: Anexos de Metas e Prioridades 2022.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Style w:val="CharStyle8"/>
          <w:b/>
          <w:bCs/>
        </w:rPr>
        <w:t>Art. 2</w:t>
      </w:r>
      <w:r>
        <w:rPr>
          <w:rStyle w:val="CharStyle8"/>
          <w:b/>
          <w:bCs/>
          <w:vertAlign w:val="superscript"/>
        </w:rPr>
        <w:t>o</w:t>
      </w:r>
      <w:r>
        <w:rPr>
          <w:rStyle w:val="CharStyle8"/>
          <w:b/>
          <w:bCs/>
        </w:rPr>
        <w:t xml:space="preserve">. </w:t>
      </w:r>
      <w:r>
        <w:rPr>
          <w:rStyle w:val="CharStyle8"/>
        </w:rPr>
        <w:t xml:space="preserve">Para cumprimento das disposições constitucionais que disciplinam o Plano Plurianual e para efeito desta Lei, </w:t>
      </w:r>
      <w:r>
        <w:rPr>
          <w:rStyle w:val="CharStyle8"/>
          <w:lang w:val="pt-BR" w:eastAsia="pt-BR" w:bidi="pt-BR"/>
        </w:rPr>
        <w:t xml:space="preserve">entende-se </w:t>
      </w:r>
      <w:r>
        <w:rPr>
          <w:rStyle w:val="CharStyle8"/>
        </w:rPr>
        <w:t>por: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Style w:val="CharStyle8"/>
          <w:b/>
          <w:bCs/>
        </w:rPr>
        <w:t xml:space="preserve">I - Programa: </w:t>
      </w:r>
      <w:r>
        <w:rPr>
          <w:rStyle w:val="CharStyle8"/>
        </w:rPr>
        <w:t>é o instrumento de organização da atuação governamental que articula um conjunto de ações que concorrem para a concretização de um objetivo comum preestabelecido, mensurado por indicadores instituídos no plano, visando à solução de um problema ou o atendimento de determinada necessidade ou demanda da sociedade. São tipos de programas: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Style w:val="CharStyle8"/>
          <w:b/>
          <w:bCs/>
        </w:rPr>
        <w:t xml:space="preserve">Programa Finalístico: </w:t>
      </w:r>
      <w:r>
        <w:rPr>
          <w:rStyle w:val="CharStyle8"/>
        </w:rPr>
        <w:t>resulta em bens e/ou serviços ofertados diretamente à sociedade, cujos resultados sejam passíveis de mensuração;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Style w:val="CharStyle8"/>
          <w:b/>
          <w:bCs/>
        </w:rPr>
        <w:t xml:space="preserve">Programa de Apoio Administrativo: </w:t>
      </w:r>
      <w:r>
        <w:rPr>
          <w:rStyle w:val="CharStyle8"/>
        </w:rPr>
        <w:t>engloba ações de natureza tipicamente administrativa que, embora colaborem para a consecução dos objetivos dos programas finalístico e demais programas, não têm suas despesas passiveis de apropriação, no momento, àqueles programas;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14" w:val="left"/>
        </w:tabs>
        <w:bidi w:val="0"/>
        <w:spacing w:before="0" w:line="233" w:lineRule="auto"/>
        <w:ind w:left="0" w:right="0" w:firstLine="0"/>
        <w:jc w:val="both"/>
      </w:pPr>
      <w:r>
        <w:rPr>
          <w:rStyle w:val="CharStyle8"/>
          <w:b/>
          <w:bCs/>
        </w:rPr>
        <w:t xml:space="preserve">- Objetivo: </w:t>
      </w:r>
      <w:r>
        <w:rPr>
          <w:rStyle w:val="CharStyle8"/>
        </w:rPr>
        <w:t>expressa o resultado que se deseja alcançar, ou seja, a transformação da situação a qual o programa se propõe modificar;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6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  <w:b/>
          <w:bCs/>
        </w:rPr>
        <w:t xml:space="preserve">- Ação: </w:t>
      </w:r>
      <w:r>
        <w:rPr>
          <w:rStyle w:val="CharStyle8"/>
        </w:rPr>
        <w:t xml:space="preserve">conjunto de operações das quais resultam bens ou serviços que concorrem para atender aos objetivos de um programa, </w:t>
      </w:r>
      <w:r>
        <w:rPr>
          <w:rStyle w:val="CharStyle8"/>
          <w:lang w:val="pt-BR" w:eastAsia="pt-BR" w:bidi="pt-BR"/>
        </w:rPr>
        <w:t xml:space="preserve">classificando-se </w:t>
      </w:r>
      <w:r>
        <w:rPr>
          <w:rStyle w:val="CharStyle8"/>
        </w:rPr>
        <w:t>em: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0" w:right="0" w:firstLine="0"/>
        <w:jc w:val="both"/>
      </w:pPr>
      <w:r>
        <w:rPr>
          <w:rStyle w:val="CharStyle8"/>
          <w:b/>
          <w:bCs/>
        </w:rPr>
        <w:t xml:space="preserve">Projeto: </w:t>
      </w:r>
      <w:r>
        <w:rPr>
          <w:rStyle w:val="CharStyle8"/>
        </w:rPr>
        <w:t xml:space="preserve">instrumento de programação utilizado para alcançar o objetivo de um programa, envolvendo um conjunto de operações, limitadas no tempo, das quais </w:t>
      </w:r>
      <w:r>
        <w:rPr>
          <w:rStyle w:val="CharStyle8"/>
        </w:rPr>
        <w:t>resulta um produto que concorre para a expansão ou o aperfeiçoamento da ação de Governo;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Atividade: </w:t>
      </w:r>
      <w:r>
        <w:rPr>
          <w:rStyle w:val="CharStyle8"/>
        </w:rPr>
        <w:t>instrumento de programação utilizado para alcançar o objetivo de um programa, envolvendo um conjunto de operações que se realizam de modo contínuo e permanente, das quais resulta um produto ou serviço necessário à manutenção da ação de Governo.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31" w:val="left"/>
        </w:tabs>
        <w:bidi w:val="0"/>
        <w:spacing w:before="0" w:line="228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- Horizonte Temporal: </w:t>
      </w:r>
      <w:r>
        <w:rPr>
          <w:rStyle w:val="CharStyle8"/>
        </w:rPr>
        <w:t>estabelece o período de vigência do programa, podendo ser contínuo ou temporário;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99" w:val="left"/>
        </w:tabs>
        <w:bidi w:val="0"/>
        <w:spacing w:before="0" w:line="228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- Público Alvo: </w:t>
      </w:r>
      <w:r>
        <w:rPr>
          <w:rStyle w:val="CharStyle8"/>
        </w:rPr>
        <w:t xml:space="preserve">segmento(s) da sociedade ao(s) qual(is) o programa se destina e que se beneficia(m) direta e </w:t>
      </w:r>
      <w:r>
        <w:rPr>
          <w:rStyle w:val="CharStyle8"/>
          <w:lang w:val="pt-BR" w:eastAsia="pt-BR" w:bidi="pt-BR"/>
        </w:rPr>
        <w:t xml:space="preserve">legitimamente </w:t>
      </w:r>
      <w:r>
        <w:rPr>
          <w:rStyle w:val="CharStyle8"/>
        </w:rPr>
        <w:t>com sua execução;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36" w:val="left"/>
        </w:tabs>
        <w:bidi w:val="0"/>
        <w:spacing w:before="0" w:line="233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- Produto: </w:t>
      </w:r>
      <w:r>
        <w:rPr>
          <w:rStyle w:val="CharStyle8"/>
        </w:rPr>
        <w:t>bem ou serviço que resulta da ação, destinado ao público-alvo ou o investimento para a produção deste bem ou serviço;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3" w:val="left"/>
        </w:tabs>
        <w:bidi w:val="0"/>
        <w:spacing w:before="0" w:line="240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- Unidade de Medida: </w:t>
      </w:r>
      <w:r>
        <w:rPr>
          <w:rStyle w:val="CharStyle8"/>
        </w:rPr>
        <w:t>padrão selecionado para mensurar a produção do bem ou serviço;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90" w:val="left"/>
        </w:tabs>
        <w:bidi w:val="0"/>
        <w:spacing w:before="0" w:line="240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- Meta Física: </w:t>
      </w:r>
      <w:r>
        <w:rPr>
          <w:rStyle w:val="CharStyle8"/>
        </w:rPr>
        <w:t>é a quantidade de produto a ser ofertado por ação, num determinado período e instituída para cada ano;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36" w:val="left"/>
        </w:tabs>
        <w:bidi w:val="0"/>
        <w:spacing w:before="0" w:line="233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- Meta Financeira: </w:t>
      </w:r>
      <w:r>
        <w:rPr>
          <w:rStyle w:val="CharStyle8"/>
        </w:rPr>
        <w:t>define a quantidade de recursos disponíveis para o período estabelecido.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Art. 3°. </w:t>
      </w:r>
      <w:r>
        <w:rPr>
          <w:rStyle w:val="CharStyle8"/>
        </w:rPr>
        <w:t xml:space="preserve">Os valores financeiros estabelecidos para as ações </w:t>
      </w:r>
      <w:r>
        <w:rPr>
          <w:rStyle w:val="CharStyle8"/>
          <w:lang w:val="pt-BR" w:eastAsia="pt-BR" w:bidi="pt-BR"/>
        </w:rPr>
        <w:t xml:space="preserve">orçamentárias </w:t>
      </w:r>
      <w:r>
        <w:rPr>
          <w:rStyle w:val="CharStyle8"/>
        </w:rPr>
        <w:t xml:space="preserve">são estimativos, não se constituindo em limites à programação das despesas expressas nas leis </w:t>
      </w:r>
      <w:r>
        <w:rPr>
          <w:rStyle w:val="CharStyle8"/>
          <w:lang w:val="pt-BR" w:eastAsia="pt-BR" w:bidi="pt-BR"/>
        </w:rPr>
        <w:t xml:space="preserve">orçamentárias </w:t>
      </w:r>
      <w:r>
        <w:rPr>
          <w:rStyle w:val="CharStyle8"/>
        </w:rPr>
        <w:t>e em seus créditos adicionais.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80" w:right="0" w:firstLine="0"/>
        <w:jc w:val="both"/>
      </w:pPr>
      <w:r>
        <w:rPr>
          <w:rStyle w:val="CharStyle8"/>
          <w:b/>
          <w:bCs/>
        </w:rPr>
        <w:t>Art. 4</w:t>
      </w:r>
      <w:r>
        <w:rPr>
          <w:rStyle w:val="CharStyle8"/>
          <w:b/>
          <w:bCs/>
          <w:vertAlign w:val="superscript"/>
        </w:rPr>
        <w:t>o</w:t>
      </w:r>
      <w:r>
        <w:rPr>
          <w:rStyle w:val="CharStyle8"/>
          <w:b/>
          <w:bCs/>
        </w:rPr>
        <w:t xml:space="preserve">. </w:t>
      </w:r>
      <w:r>
        <w:rPr>
          <w:rStyle w:val="CharStyle8"/>
        </w:rPr>
        <w:t xml:space="preserve">As metas da Administração Pública Municipal, para cada exercício de vigência do Plano Plurianual, serão apropriadas pela </w:t>
      </w:r>
      <w:r>
        <w:rPr>
          <w:rStyle w:val="CharStyle8"/>
          <w:lang w:val="pt-BR" w:eastAsia="pt-BR" w:bidi="pt-BR"/>
        </w:rPr>
        <w:t xml:space="preserve">respectiva </w:t>
      </w:r>
      <w:r>
        <w:rPr>
          <w:rStyle w:val="CharStyle8"/>
        </w:rPr>
        <w:t xml:space="preserve">Lei </w:t>
      </w:r>
      <w:r>
        <w:rPr>
          <w:rStyle w:val="CharStyle8"/>
          <w:lang w:val="pt-BR" w:eastAsia="pt-BR" w:bidi="pt-BR"/>
        </w:rPr>
        <w:t xml:space="preserve">Orçamentária, </w:t>
      </w:r>
      <w:r>
        <w:rPr>
          <w:rStyle w:val="CharStyle8"/>
        </w:rPr>
        <w:t xml:space="preserve">observadas as prioridades e regras estabelecidas na Lei de Diretrizes </w:t>
      </w:r>
      <w:r>
        <w:rPr>
          <w:rStyle w:val="CharStyle8"/>
          <w:lang w:val="pt-BR" w:eastAsia="pt-BR" w:bidi="pt-BR"/>
        </w:rPr>
        <w:t xml:space="preserve">Orçamentárias </w:t>
      </w:r>
      <w:r>
        <w:rPr>
          <w:rStyle w:val="CharStyle8"/>
        </w:rPr>
        <w:t>pertinente e a disponibilidade anual efetiva de recursos financeiros.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Parágrafo único. </w:t>
      </w:r>
      <w:r>
        <w:rPr>
          <w:rStyle w:val="CharStyle8"/>
        </w:rPr>
        <w:t xml:space="preserve">Os títulos dos programas e ações do Plano Plurianual serão aplicados nas leis de diretrizes </w:t>
      </w:r>
      <w:r>
        <w:rPr>
          <w:rStyle w:val="CharStyle8"/>
          <w:lang w:val="pt-BR" w:eastAsia="pt-BR" w:bidi="pt-BR"/>
        </w:rPr>
        <w:t xml:space="preserve">orçamentárias, </w:t>
      </w:r>
      <w:r>
        <w:rPr>
          <w:rStyle w:val="CharStyle8"/>
        </w:rPr>
        <w:t xml:space="preserve">nas leis </w:t>
      </w:r>
      <w:r>
        <w:rPr>
          <w:rStyle w:val="CharStyle8"/>
          <w:lang w:val="pt-BR" w:eastAsia="pt-BR" w:bidi="pt-BR"/>
        </w:rPr>
        <w:t xml:space="preserve">orçamentárias </w:t>
      </w:r>
      <w:r>
        <w:rPr>
          <w:rStyle w:val="CharStyle8"/>
        </w:rPr>
        <w:t>e seus créditos adicionais e nas leis que as modifiquem.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80" w:right="0" w:firstLine="0"/>
        <w:jc w:val="both"/>
      </w:pPr>
      <w:r>
        <w:rPr>
          <w:rStyle w:val="CharStyle8"/>
          <w:b/>
          <w:bCs/>
        </w:rPr>
        <w:t>Art. 5</w:t>
      </w:r>
      <w:r>
        <w:rPr>
          <w:rStyle w:val="CharStyle8"/>
          <w:b/>
          <w:bCs/>
          <w:vertAlign w:val="superscript"/>
        </w:rPr>
        <w:t>o</w:t>
      </w:r>
      <w:r>
        <w:rPr>
          <w:rStyle w:val="CharStyle8"/>
          <w:b/>
          <w:bCs/>
        </w:rPr>
        <w:t xml:space="preserve">. </w:t>
      </w:r>
      <w:r>
        <w:rPr>
          <w:rStyle w:val="CharStyle8"/>
        </w:rPr>
        <w:t>A alteração ou a exclusão de programas constantes do Plano Plurianual, assim como a inclusão de novos programas, será proposta pelo Poder Executivo, por meio de projeto de lei de revisão anual ou específico, ressalvado o disposto nos §§ 3</w:t>
      </w:r>
      <w:r>
        <w:rPr>
          <w:rStyle w:val="CharStyle8"/>
          <w:vertAlign w:val="superscript"/>
        </w:rPr>
        <w:t>o</w:t>
      </w:r>
      <w:r>
        <w:rPr>
          <w:rStyle w:val="CharStyle8"/>
        </w:rPr>
        <w:t xml:space="preserve"> e 4° deste artigo.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280"/>
        <w:jc w:val="both"/>
      </w:pPr>
      <w:r>
        <w:rPr>
          <w:rStyle w:val="CharStyle8"/>
          <w:b/>
          <w:bCs/>
        </w:rPr>
        <w:t>§ I</w:t>
      </w:r>
      <w:r>
        <w:rPr>
          <w:rStyle w:val="CharStyle8"/>
          <w:b/>
          <w:bCs/>
          <w:vertAlign w:val="superscript"/>
        </w:rPr>
        <w:t>o</w:t>
      </w:r>
      <w:r>
        <w:rPr>
          <w:rStyle w:val="CharStyle8"/>
          <w:b/>
          <w:bCs/>
        </w:rPr>
        <w:t xml:space="preserve">. </w:t>
      </w:r>
      <w:r>
        <w:rPr>
          <w:rStyle w:val="CharStyle8"/>
          <w:lang w:val="pt-BR" w:eastAsia="pt-BR" w:bidi="pt-BR"/>
        </w:rPr>
        <w:t xml:space="preserve">Considera-se </w:t>
      </w:r>
      <w:r>
        <w:rPr>
          <w:rStyle w:val="CharStyle8"/>
        </w:rPr>
        <w:t>alteração de programa: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87" w:val="left"/>
        </w:tabs>
        <w:bidi w:val="0"/>
        <w:spacing w:before="0" w:line="233" w:lineRule="auto"/>
        <w:ind w:left="0" w:right="0" w:firstLine="280"/>
        <w:jc w:val="both"/>
      </w:pPr>
      <w:r>
        <w:rPr>
          <w:rStyle w:val="CharStyle8"/>
          <w:b/>
          <w:bCs/>
        </w:rPr>
        <w:t xml:space="preserve">- </w:t>
      </w:r>
      <w:r>
        <w:rPr>
          <w:rStyle w:val="CharStyle8"/>
        </w:rPr>
        <w:t>adequação de denominação ou do objetivo e modificação do público-alvo;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64" w:val="left"/>
        </w:tabs>
        <w:bidi w:val="0"/>
        <w:spacing w:before="0" w:line="233" w:lineRule="auto"/>
        <w:ind w:left="0" w:right="0" w:firstLine="280"/>
        <w:jc w:val="both"/>
      </w:pPr>
      <w:r>
        <w:rPr>
          <w:rStyle w:val="CharStyle8"/>
          <w:b/>
          <w:bCs/>
        </w:rPr>
        <w:t xml:space="preserve">- </w:t>
      </w:r>
      <w:r>
        <w:rPr>
          <w:rStyle w:val="CharStyle8"/>
        </w:rPr>
        <w:t xml:space="preserve">inclusão ou exclusão de ações </w:t>
      </w:r>
      <w:r>
        <w:rPr>
          <w:rStyle w:val="CharStyle8"/>
          <w:lang w:val="pt-BR" w:eastAsia="pt-BR" w:bidi="pt-BR"/>
        </w:rPr>
        <w:t>orçamentárias;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§ 2°. </w:t>
      </w:r>
      <w:r>
        <w:rPr>
          <w:rStyle w:val="CharStyle8"/>
        </w:rPr>
        <w:t>As alterações no Plano Plurianual deverão ter a mesma formatação e conter todos os elementos presentes nesta Lei.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80" w:right="0" w:firstLine="0"/>
        <w:jc w:val="both"/>
      </w:pPr>
      <w:r>
        <w:rPr>
          <w:rStyle w:val="CharStyle8"/>
          <w:b/>
          <w:bCs/>
        </w:rPr>
        <w:t xml:space="preserve">§ 3°. </w:t>
      </w:r>
      <w:r>
        <w:rPr>
          <w:rStyle w:val="CharStyle8"/>
        </w:rPr>
        <w:t xml:space="preserve">As inclusões, exclusões e alterações de ações </w:t>
      </w:r>
      <w:r>
        <w:rPr>
          <w:rStyle w:val="CharStyle8"/>
          <w:lang w:val="pt-BR" w:eastAsia="pt-BR" w:bidi="pt-BR"/>
        </w:rPr>
        <w:t xml:space="preserve">orçamentárias </w:t>
      </w:r>
      <w:r>
        <w:rPr>
          <w:rStyle w:val="CharStyle8"/>
        </w:rPr>
        <w:t xml:space="preserve">poderão ocorrer por intermédio da lei </w:t>
      </w:r>
      <w:r>
        <w:rPr>
          <w:rStyle w:val="CharStyle8"/>
          <w:lang w:val="pt-BR" w:eastAsia="pt-BR" w:bidi="pt-BR"/>
        </w:rPr>
        <w:t xml:space="preserve">orçamentária </w:t>
      </w:r>
      <w:r>
        <w:rPr>
          <w:rStyle w:val="CharStyle8"/>
        </w:rPr>
        <w:t>e de seus créditos adicionais, quando decorrentes de fusões e desmembramentos de atividades do mesmo programa.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80" w:right="0" w:firstLine="0"/>
        <w:jc w:val="both"/>
      </w:pPr>
      <w:r>
        <w:rPr>
          <w:rStyle w:val="CharStyle8"/>
          <w:b/>
          <w:bCs/>
        </w:rPr>
        <w:t>§ 4</w:t>
      </w:r>
      <w:r>
        <w:rPr>
          <w:rStyle w:val="CharStyle8"/>
          <w:b/>
          <w:bCs/>
          <w:vertAlign w:val="superscript"/>
        </w:rPr>
        <w:t>o</w:t>
      </w:r>
      <w:r>
        <w:rPr>
          <w:rStyle w:val="CharStyle8"/>
          <w:b/>
          <w:bCs/>
        </w:rPr>
        <w:t xml:space="preserve">. </w:t>
      </w:r>
      <w:r>
        <w:rPr>
          <w:rStyle w:val="CharStyle8"/>
        </w:rPr>
        <w:t xml:space="preserve">Fica o Poder Executivo autorizado a incluir, excluir ou alterar produtos, unidades de medidas e </w:t>
      </w:r>
      <w:r>
        <w:rPr>
          <w:rStyle w:val="CharStyle8"/>
          <w:lang w:val="pt-BR" w:eastAsia="pt-BR" w:bidi="pt-BR"/>
        </w:rPr>
        <w:t xml:space="preserve">respectivas </w:t>
      </w:r>
      <w:r>
        <w:rPr>
          <w:rStyle w:val="CharStyle8"/>
        </w:rPr>
        <w:t>metas das ações do Plano Plurianual, desde que contribuam para a realização dos objetivos do programa e não afetem a consistência deste.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80" w:right="0" w:firstLine="0"/>
        <w:jc w:val="both"/>
      </w:pPr>
      <w:r>
        <w:rPr>
          <w:rStyle w:val="CharStyle8"/>
          <w:b/>
          <w:bCs/>
        </w:rPr>
        <w:t>Art. 6</w:t>
      </w:r>
      <w:r>
        <w:rPr>
          <w:rStyle w:val="CharStyle8"/>
          <w:b/>
          <w:bCs/>
          <w:vertAlign w:val="superscript"/>
        </w:rPr>
        <w:t>o</w:t>
      </w:r>
      <w:r>
        <w:rPr>
          <w:rStyle w:val="CharStyle8"/>
          <w:b/>
          <w:bCs/>
        </w:rPr>
        <w:t xml:space="preserve">. </w:t>
      </w:r>
      <w:r>
        <w:rPr>
          <w:rStyle w:val="CharStyle8"/>
        </w:rPr>
        <w:t>Nos termos do disposto no artigo 2</w:t>
      </w:r>
      <w:r>
        <w:rPr>
          <w:rStyle w:val="CharStyle8"/>
          <w:vertAlign w:val="superscript"/>
        </w:rPr>
        <w:t>o</w:t>
      </w:r>
      <w:r>
        <w:rPr>
          <w:rStyle w:val="CharStyle8"/>
        </w:rPr>
        <w:t xml:space="preserve">. da Lei de Diretrizes </w:t>
      </w:r>
      <w:r>
        <w:rPr>
          <w:rStyle w:val="CharStyle8"/>
          <w:lang w:val="pt-BR" w:eastAsia="pt-BR" w:bidi="pt-BR"/>
        </w:rPr>
        <w:t xml:space="preserve">Orçamentária </w:t>
      </w:r>
      <w:r>
        <w:rPr>
          <w:rStyle w:val="CharStyle8"/>
        </w:rPr>
        <w:t xml:space="preserve">- LDO 2022, as Metas e Prioridades para o exercício financeiro de 2022 são as especificadas no Anexo XII que integra esta Lei, as quais terão precedência na </w:t>
      </w:r>
      <w:r>
        <w:rPr>
          <w:rStyle w:val="CharStyle8"/>
          <w:lang w:val="pt-BR" w:eastAsia="pt-BR" w:bidi="pt-BR"/>
        </w:rPr>
        <w:t xml:space="preserve">alocação </w:t>
      </w:r>
      <w:r>
        <w:rPr>
          <w:rStyle w:val="CharStyle8"/>
        </w:rPr>
        <w:t xml:space="preserve">de recursos na Lei </w:t>
      </w:r>
      <w:r>
        <w:rPr>
          <w:rStyle w:val="CharStyle8"/>
          <w:lang w:val="pt-BR" w:eastAsia="pt-BR" w:bidi="pt-BR"/>
        </w:rPr>
        <w:t xml:space="preserve">Orçamentária </w:t>
      </w:r>
      <w:r>
        <w:rPr>
          <w:rStyle w:val="CharStyle8"/>
        </w:rPr>
        <w:t>de 2022, não se constituindo, todavia, em limite à programação das despesas.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280"/>
        <w:jc w:val="both"/>
      </w:pPr>
      <w:r>
        <w:rPr>
          <w:rStyle w:val="CharStyle8"/>
          <w:b/>
          <w:bCs/>
        </w:rPr>
        <w:t xml:space="preserve">Art. </w:t>
      </w:r>
      <w:r>
        <w:rPr>
          <w:rStyle w:val="CharStyle8"/>
          <w:b/>
          <w:bCs/>
          <w:i/>
          <w:iCs/>
        </w:rPr>
        <w:t>T.</w:t>
      </w:r>
      <w:r>
        <w:rPr>
          <w:rStyle w:val="CharStyle8"/>
        </w:rPr>
        <w:t xml:space="preserve"> Esta Lei entra em vigor em 1 ° de janeiro de 2022.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80" w:right="0" w:firstLine="0"/>
        <w:jc w:val="both"/>
      </w:pPr>
      <w:r>
        <w:rPr>
          <w:rStyle w:val="CharStyle8"/>
        </w:rPr>
        <w:t xml:space="preserve">Gabinete da </w:t>
      </w:r>
      <w:r>
        <w:rPr>
          <w:rStyle w:val="CharStyle8"/>
          <w:lang w:val="pt-BR" w:eastAsia="pt-BR" w:bidi="pt-BR"/>
        </w:rPr>
        <w:t xml:space="preserve">Prefeita </w:t>
      </w:r>
      <w:r>
        <w:rPr>
          <w:rStyle w:val="CharStyle8"/>
        </w:rPr>
        <w:t>Municipal de Beruri, Estado do Amazonas, em 06 de dezembro de 2021.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20" w:line="240" w:lineRule="auto"/>
        <w:ind w:left="280" w:right="0" w:firstLine="0"/>
        <w:jc w:val="both"/>
      </w:pPr>
      <w:bookmarkStart w:id="4" w:name="bookmark4"/>
      <w:r>
        <w:rPr>
          <w:rStyle w:val="CharStyle3"/>
          <w:b/>
          <w:bCs/>
        </w:rPr>
        <w:t>MARIA LUC1R SANTOS DE OLIVEIRA</w:t>
      </w:r>
      <w:bookmarkEnd w:id="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both"/>
      </w:pPr>
      <w:r>
        <w:rPr>
          <w:rStyle w:val="CharStyle8"/>
        </w:rPr>
        <w:t>Perfeita Municipal de Beruri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right"/>
      </w:pPr>
      <w:bookmarkStart w:id="6" w:name="bookmark6"/>
      <w:r>
        <w:rPr>
          <w:rStyle w:val="CharStyle3"/>
          <w:b/>
          <w:bCs/>
          <w:lang w:val="pt-BR" w:eastAsia="pt-BR" w:bidi="pt-BR"/>
        </w:rPr>
        <w:t>Publicado por:</w:t>
      </w:r>
      <w:bookmarkEnd w:id="6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280" w:firstLine="0"/>
        <w:jc w:val="right"/>
      </w:pPr>
      <w:r>
        <w:rPr>
          <w:rStyle w:val="CharStyle8"/>
          <w:lang w:val="pt-BR" w:eastAsia="pt-BR" w:bidi="pt-BR"/>
        </w:rPr>
        <w:t>Silvana Pantoja de Araújo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30" w:lineRule="auto"/>
        <w:ind w:left="0" w:right="280" w:firstLine="0"/>
        <w:jc w:val="right"/>
      </w:pPr>
      <w:r>
        <w:rPr>
          <w:rStyle w:val="CharStyle8"/>
          <w:b/>
          <w:bCs/>
          <w:lang w:val="pt-BR" w:eastAsia="pt-BR" w:bidi="pt-BR"/>
        </w:rPr>
        <w:t xml:space="preserve">Código Identificador: </w:t>
      </w:r>
      <w:r>
        <w:rPr>
          <w:rStyle w:val="CharStyle8"/>
          <w:lang w:val="pt-BR" w:eastAsia="pt-BR" w:bidi="pt-BR"/>
        </w:rPr>
        <w:t>KF3EYJFR4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8"/>
          <w:lang w:val="pt-BR" w:eastAsia="pt-BR" w:bidi="pt-BR"/>
        </w:rPr>
        <w:t xml:space="preserve">Matéria publicada no Diário Oficial dos Municípios do Estado do Amazonas no dia 07/12/2021 - N° 3005. A verificação de autenticidade da matéria pode ser feita informando o código identificador no 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Style w:val="CharStyle8"/>
          <w:lang w:val="en-US" w:eastAsia="en-US" w:bidi="en-US"/>
        </w:rPr>
        <w:t>https://diariomunicipalaam.org.br</w:t>
      </w:r>
      <w:r>
        <w:fldChar w:fldCharType="end"/>
      </w:r>
    </w:p>
    <w:sectPr>
      <w:footerReference w:type="default" r:id="rId5"/>
      <w:footnotePr>
        <w:pos w:val="pageBottom"/>
        <w:numFmt w:val="decimal"/>
        <w:numRestart w:val="continuous"/>
      </w:footnotePr>
      <w:pgSz w:w="12240" w:h="15840"/>
      <w:pgMar w:top="336" w:right="2557" w:bottom="520" w:left="2578" w:header="0" w:footer="3" w:gutter="0"/>
      <w:pgNumType w:start="2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7174230</wp:posOffset>
              </wp:positionH>
              <wp:positionV relativeFrom="page">
                <wp:posOffset>9791700</wp:posOffset>
              </wp:positionV>
              <wp:extent cx="79375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4.89999999999998pt;margin-top:771.pt;width:6.25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auto"/>
      <w:spacing w:before="510" w:after="270" w:line="235" w:lineRule="auto"/>
      <w:outlineLvl w:val="0"/>
    </w:pPr>
    <w:rPr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auto"/>
      <w:spacing w:after="12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