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1998345</wp:posOffset>
            </wp:positionH>
            <wp:positionV relativeFrom="paragraph">
              <wp:posOffset>12700</wp:posOffset>
            </wp:positionV>
            <wp:extent cx="1905000" cy="24638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05000" cy="2463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15193645</wp:posOffset>
            </wp:positionH>
            <wp:positionV relativeFrom="paragraph">
              <wp:posOffset>88900</wp:posOffset>
            </wp:positionV>
            <wp:extent cx="2260600" cy="22352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60600" cy="2235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11497945</wp:posOffset>
                </wp:positionH>
                <wp:positionV relativeFrom="paragraph">
                  <wp:posOffset>7378700</wp:posOffset>
                </wp:positionV>
                <wp:extent cx="6565900" cy="52070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65900" cy="520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lementar n° 101/2000 - Lei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905.35000000000002pt;margin-top:581.pt;width:517.pt;height:41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lementar n° 101/2000 - Lei 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20" w:line="319" w:lineRule="auto"/>
        <w:ind w:left="0" w:right="0" w:firstLine="0"/>
        <w:jc w:val="center"/>
        <w:rPr>
          <w:sz w:val="64"/>
          <w:szCs w:val="64"/>
        </w:rPr>
      </w:pPr>
      <w:r>
        <w:rPr>
          <w:b/>
          <w:bCs/>
          <w:color w:val="8E95B2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CÂMARA MUNICIPAL DE ANORI</w:t>
        <w:br/>
      </w:r>
      <w:r>
        <w:rPr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PODER LEGISLATIVO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60" w:line="240" w:lineRule="auto"/>
        <w:ind w:left="8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AVISO DE DISPONIBILIZAÇÃO DE PRESTAÇÃO DE CONTAS</w:t>
      </w:r>
      <w:bookmarkEnd w:id="0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Câmara Municipal de Anori,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cumprimento ao disposto no art. 31, §3°,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Constituição Federal,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49 da Lei Comp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2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Responsabilidade Fiscal, e demais legislações correlatas, informa à população que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Prestação de Contas Anual do Poder Executivo Municipal,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referente ao exercício de 2025,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encontra disponível para consulta pública durante todo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exercício, conforme segue: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0" w:line="418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9 Local para Consulta: Sede da Câmara Municipal, situado na Rua Avenida Nossa Senhora do Perpétuo Socorro, S/N, Centro, no horário das 07h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consulta está aberta a todos os cidadãos, entidades civis e demais interessados, visando assegurar a transparência e o controle social da administração pública, nos termos da legislação vigente.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31482" w:h="31680"/>
          <w:pgMar w:top="0" w:left="2747" w:right="2995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Anori/AM, 26 de março de 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482" w:h="31680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5681345</wp:posOffset>
            </wp:positionH>
            <wp:positionV relativeFrom="paragraph">
              <wp:posOffset>12700</wp:posOffset>
            </wp:positionV>
            <wp:extent cx="8724900" cy="276860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724900" cy="2768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482" w:h="31680"/>
      <w:pgMar w:top="0" w:left="2747" w:right="2995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38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890"/>
      <w:ind w:left="4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